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Ophthalmologist</w:t>
      </w:r>
      <w:r>
        <w:t xml:space="preserve"> </w:t>
      </w:r>
      <w:r>
        <w:t xml:space="preserve">-</w:t>
      </w:r>
      <w:r>
        <w:t xml:space="preserve"> </w:t>
      </w:r>
      <w:r>
        <w:t xml:space="preserve">Abu</w:t>
      </w:r>
      <w:r>
        <w:t xml:space="preserve"> </w:t>
      </w:r>
      <w:r>
        <w:t xml:space="preserve">Dhabi,</w:t>
      </w:r>
      <w:r>
        <w:t xml:space="preserve"> </w:t>
      </w:r>
      <w:r>
        <w:t xml:space="preserve">UAE</w:t>
      </w:r>
    </w:p>
    <w:bookmarkStart w:id="20" w:name="peer-review-report"/>
    <w:p>
      <w:pPr>
        <w:pStyle w:val="Heading1"/>
      </w:pPr>
      <w:r>
        <w:t xml:space="preserve">Peer Review Report</w:t>
      </w:r>
    </w:p>
    <w:p>
      <w:pPr>
        <w:pStyle w:val="FirstParagraph"/>
      </w:pPr>
      <w:r>
        <w:rPr>
          <w:bCs/>
          <w:b/>
        </w:rPr>
        <w:t xml:space="preserve">Specialty:</w:t>
      </w:r>
      <w:r>
        <w:t xml:space="preserve"> </w:t>
      </w:r>
      <w:r>
        <w:t xml:space="preserve">Ophthalmology</w:t>
      </w:r>
    </w:p>
    <w:p>
      <w:pPr>
        <w:pStyle w:val="BodyText"/>
      </w:pPr>
      <w:r>
        <w:rPr>
          <w:bCs/>
          <w:b/>
        </w:rPr>
        <w:t xml:space="preserve">Location:</w:t>
      </w:r>
      <w:r>
        <w:t xml:space="preserve"> </w:t>
      </w:r>
      <w:r>
        <w:t xml:space="preserve">United Arab Emirates, Abu Dhabi</w:t>
      </w:r>
    </w:p>
    <w:p>
      <w:pPr>
        <w:pStyle w:val="BodyText"/>
      </w:pPr>
      <w:r>
        <w:rPr>
          <w:bCs/>
          <w:b/>
        </w:rPr>
        <w:t xml:space="preserve">Date of Report:</w:t>
      </w:r>
      <w:r>
        <w:t xml:space="preserve"> </w:t>
      </w:r>
      <w:r>
        <w:t xml:space="preserve">[Insert Date]</w:t>
      </w:r>
    </w:p>
    <w:p>
      <w:pPr>
        <w:pStyle w:val="BodyText"/>
      </w:pPr>
      <w:r>
        <w:rPr>
          <w:bCs/>
          <w:b/>
        </w:rPr>
        <w:t xml:space="preserve">Report Reference Number:</w:t>
      </w:r>
      <w:r>
        <w:t xml:space="preserve"> </w:t>
      </w:r>
      <w:r>
        <w:t xml:space="preserve">[Insert Reference Number]</w:t>
      </w:r>
    </w:p>
    <w:bookmarkEnd w:id="20"/>
    <w:bookmarkStart w:id="21" w:name="introduction"/>
    <w:p>
      <w:pPr>
        <w:pStyle w:val="Heading2"/>
      </w:pPr>
      <w:r>
        <w:t xml:space="preserve">1. Introduction</w:t>
      </w:r>
    </w:p>
    <w:p>
      <w:pPr>
        <w:pStyle w:val="FirstParagraph"/>
      </w:pPr>
      <w:r>
        <w:t xml:space="preserve">This Peer Review Report has been prepared in accordance with the regulatory standards set forth by the Department of Health (DOH) Abu Dhabi and the broader healthcare governance framework of the United Arab Emirates. The purpose of this document is to evaluate the clinical performance, professional conduct, and adherence to evidence-based practices of an Ophthalmologist practicing within the Abu Dhabi healthcare system. The review aims to ensure that the highest standards of patient care, safety, and clinical excellence are maintained, in alignment with the strategic vision of Abu Dhabi’s healthcare sector.</w:t>
      </w:r>
    </w:p>
    <w:bookmarkEnd w:id="21"/>
    <w:bookmarkStart w:id="22" w:name="scope-of-review"/>
    <w:p>
      <w:pPr>
        <w:pStyle w:val="Heading2"/>
      </w:pPr>
      <w:r>
        <w:t xml:space="preserve">2. Scope of Review</w:t>
      </w:r>
    </w:p>
    <w:p>
      <w:pPr>
        <w:pStyle w:val="FirstParagraph"/>
      </w:pPr>
      <w:r>
        <w:t xml:space="preserve">The scope of this Peer Review encompasses a comprehensive assessment of the Ophthalmologist’s clinical activities over the past [Insert Time Period]. The review includes, but is not limited to, the following areas:</w:t>
      </w:r>
    </w:p>
    <w:p>
      <w:pPr>
        <w:numPr>
          <w:ilvl w:val="0"/>
          <w:numId w:val="1001"/>
        </w:numPr>
        <w:pStyle w:val="Compact"/>
      </w:pPr>
      <w:r>
        <w:t xml:space="preserve">Clinical decision-making and diagnostic accuracy.</w:t>
      </w:r>
    </w:p>
    <w:p>
      <w:pPr>
        <w:numPr>
          <w:ilvl w:val="0"/>
          <w:numId w:val="1001"/>
        </w:numPr>
        <w:pStyle w:val="Compact"/>
      </w:pPr>
      <w:r>
        <w:t xml:space="preserve">Adherence to clinical guidelines and protocols specific to ophthalmic care.</w:t>
      </w:r>
    </w:p>
    <w:p>
      <w:pPr>
        <w:numPr>
          <w:ilvl w:val="0"/>
          <w:numId w:val="1001"/>
        </w:numPr>
        <w:pStyle w:val="Compact"/>
      </w:pPr>
      <w:r>
        <w:t xml:space="preserve">Patient safety and risk management practices.</w:t>
      </w:r>
    </w:p>
    <w:p>
      <w:pPr>
        <w:numPr>
          <w:ilvl w:val="0"/>
          <w:numId w:val="1001"/>
        </w:numPr>
        <w:pStyle w:val="Compact"/>
      </w:pPr>
      <w:r>
        <w:t xml:space="preserve">Quality of surgical and non-surgical interventions.</w:t>
      </w:r>
    </w:p>
    <w:p>
      <w:pPr>
        <w:numPr>
          <w:ilvl w:val="0"/>
          <w:numId w:val="1001"/>
        </w:numPr>
        <w:pStyle w:val="Compact"/>
      </w:pPr>
      <w:r>
        <w:t xml:space="preserve">Professional communication and collaboration with multidisciplinary teams.</w:t>
      </w:r>
    </w:p>
    <w:p>
      <w:pPr>
        <w:numPr>
          <w:ilvl w:val="0"/>
          <w:numId w:val="1001"/>
        </w:numPr>
        <w:pStyle w:val="Compact"/>
      </w:pPr>
      <w:r>
        <w:t xml:space="preserve">Compliance with ethical standards and regulatory requirements in the United Arab Emirates.</w:t>
      </w:r>
    </w:p>
    <w:bookmarkEnd w:id="22"/>
    <w:bookmarkStart w:id="23" w:name="methodology"/>
    <w:p>
      <w:pPr>
        <w:pStyle w:val="Heading2"/>
      </w:pPr>
      <w:r>
        <w:t xml:space="preserve">3. Methodology</w:t>
      </w:r>
    </w:p>
    <w:p>
      <w:pPr>
        <w:pStyle w:val="FirstParagraph"/>
      </w:pPr>
      <w:r>
        <w:t xml:space="preserve">The Peer Review was conducted by a panel of experienced ophthalmologists and healthcare professionals accredited by the DOH Abu Dhabi. The methodology included:</w:t>
      </w:r>
    </w:p>
    <w:p>
      <w:pPr>
        <w:numPr>
          <w:ilvl w:val="0"/>
          <w:numId w:val="1002"/>
        </w:numPr>
        <w:pStyle w:val="Compact"/>
      </w:pPr>
      <w:r>
        <w:t xml:space="preserve">Review of a representative sample of patient records, including pre-operative assessments, surgical notes, and post-operative follow-ups.</w:t>
      </w:r>
    </w:p>
    <w:p>
      <w:pPr>
        <w:numPr>
          <w:ilvl w:val="0"/>
          <w:numId w:val="1002"/>
        </w:numPr>
        <w:pStyle w:val="Compact"/>
      </w:pPr>
      <w:r>
        <w:t xml:space="preserve">Analysis of clinical outcomes, complication rates, and patient satisfaction data.</w:t>
      </w:r>
    </w:p>
    <w:p>
      <w:pPr>
        <w:numPr>
          <w:ilvl w:val="0"/>
          <w:numId w:val="1002"/>
        </w:numPr>
        <w:pStyle w:val="Compact"/>
      </w:pPr>
      <w:r>
        <w:t xml:space="preserve">Interviews with the Ophthalmologist, nursing staff, and other relevant healthcare providers.</w:t>
      </w:r>
    </w:p>
    <w:p>
      <w:pPr>
        <w:numPr>
          <w:ilvl w:val="0"/>
          <w:numId w:val="1002"/>
        </w:numPr>
        <w:pStyle w:val="Compact"/>
      </w:pPr>
      <w:r>
        <w:t xml:space="preserve">Comparison of practices against national and international ophthalmic standards.</w:t>
      </w:r>
    </w:p>
    <w:bookmarkEnd w:id="23"/>
    <w:bookmarkStart w:id="27" w:name="clinical-performance-evaluation"/>
    <w:p>
      <w:pPr>
        <w:pStyle w:val="Heading2"/>
      </w:pPr>
      <w:r>
        <w:t xml:space="preserve">4. Clinical Performance Evaluation</w:t>
      </w:r>
    </w:p>
    <w:bookmarkStart w:id="24" w:name="diagnostic-accuracy"/>
    <w:p>
      <w:pPr>
        <w:pStyle w:val="Heading3"/>
      </w:pPr>
      <w:r>
        <w:t xml:space="preserve">4.1 Diagnostic Accuracy</w:t>
      </w:r>
    </w:p>
    <w:p>
      <w:pPr>
        <w:pStyle w:val="FirstParagraph"/>
      </w:pPr>
      <w:r>
        <w:t xml:space="preserve">The Ophthalmologist demonstrated a high level of diagnostic accuracy across a range of ophthalmic conditions, including glaucoma, cataracts, retinal disorders, and refractive errors. Diagnostic approaches were consistent with current evidence-based guidelines, and the use of advanced diagnostic tools, such as optical coherence tomography (OCT) and visual field testing, was appropriately integrated into patient care.</w:t>
      </w:r>
    </w:p>
    <w:bookmarkEnd w:id="24"/>
    <w:bookmarkStart w:id="25" w:name="surgical-competence"/>
    <w:p>
      <w:pPr>
        <w:pStyle w:val="Heading3"/>
      </w:pPr>
      <w:r>
        <w:t xml:space="preserve">4.2 Surgical Competence</w:t>
      </w:r>
    </w:p>
    <w:p>
      <w:pPr>
        <w:pStyle w:val="FirstParagraph"/>
      </w:pPr>
      <w:r>
        <w:t xml:space="preserve">Surgical procedures, including phacoemulsification, glaucoma surgeries, and vitreoretinal interventions, were performed with a high degree of technical proficiency. The complication rates observed were within acceptable limits and comparable to national benchmarks. Post-operative care protocols were followed diligently, contributing to favorable patient outcomes.</w:t>
      </w:r>
    </w:p>
    <w:bookmarkEnd w:id="25"/>
    <w:bookmarkStart w:id="26" w:name="patient-safety-and-risk-management"/>
    <w:p>
      <w:pPr>
        <w:pStyle w:val="Heading3"/>
      </w:pPr>
      <w:r>
        <w:t xml:space="preserve">4.3 Patient Safety and Risk Management</w:t>
      </w:r>
    </w:p>
    <w:p>
      <w:pPr>
        <w:pStyle w:val="FirstParagraph"/>
      </w:pPr>
      <w:r>
        <w:t xml:space="preserve">The Ophthalmologist exhibited a strong commitment to patient safety, adhering to infection control protocols and maintaining accurate documentation. Risk assessment and mitigation strategies were effectively implemented, particularly in high-risk cases. However, minor areas for improvement were identified in the consistency of informed consent documentation.</w:t>
      </w:r>
    </w:p>
    <w:bookmarkEnd w:id="26"/>
    <w:bookmarkEnd w:id="27"/>
    <w:bookmarkStart w:id="28" w:name="professional-conduct-and-communication"/>
    <w:p>
      <w:pPr>
        <w:pStyle w:val="Heading2"/>
      </w:pPr>
      <w:r>
        <w:t xml:space="preserve">5. Professional Conduct and Communication</w:t>
      </w:r>
    </w:p>
    <w:p>
      <w:pPr>
        <w:pStyle w:val="FirstParagraph"/>
      </w:pPr>
      <w:r>
        <w:t xml:space="preserve">The Ophthalmologist maintained professional relationships with colleagues, demonstrating effective communication and collaboration within multidisciplinary teams. Patient interactions were characterized by empathy, clarity, and respect. Feedback from patients and staff indicated a positive perception of the Ophthalmologist’s professionalism and approachability.</w:t>
      </w:r>
    </w:p>
    <w:bookmarkEnd w:id="28"/>
    <w:bookmarkStart w:id="29" w:name="compliance-with-regulatory-standards"/>
    <w:p>
      <w:pPr>
        <w:pStyle w:val="Heading2"/>
      </w:pPr>
      <w:r>
        <w:t xml:space="preserve">6. Compliance with Regulatory Standards</w:t>
      </w:r>
    </w:p>
    <w:p>
      <w:pPr>
        <w:pStyle w:val="FirstParagraph"/>
      </w:pPr>
      <w:r>
        <w:t xml:space="preserve">The review confirmed that the Ophthalmologist’s practice aligns with the regulatory requirements of the DOH Abu Dhabi and the broader healthcare policies of the United Arab Emirates. Licensing, continuing professional development (CPD), and adherence to ethical guidelines were all in compliance. The Ophthalmologist actively participates in CPD activities, ensuring up-to-date knowledge and skills in ophthalmic care.</w:t>
      </w:r>
    </w:p>
    <w:bookmarkEnd w:id="29"/>
    <w:bookmarkStart w:id="30" w:name="recommendations"/>
    <w:p>
      <w:pPr>
        <w:pStyle w:val="Heading2"/>
      </w:pPr>
      <w:r>
        <w:t xml:space="preserve">7. Recommendations</w:t>
      </w:r>
    </w:p>
    <w:p>
      <w:pPr>
        <w:pStyle w:val="FirstParagraph"/>
      </w:pPr>
      <w:r>
        <w:t xml:space="preserve">Based on the findings of this Peer Review, the following recommendations are made:</w:t>
      </w:r>
    </w:p>
    <w:p>
      <w:pPr>
        <w:numPr>
          <w:ilvl w:val="0"/>
          <w:numId w:val="1003"/>
        </w:numPr>
        <w:pStyle w:val="Compact"/>
      </w:pPr>
      <w:r>
        <w:t xml:space="preserve">Enhance the consistency of informed consent documentation to ensure full regulatory compliance.</w:t>
      </w:r>
    </w:p>
    <w:p>
      <w:pPr>
        <w:numPr>
          <w:ilvl w:val="0"/>
          <w:numId w:val="1003"/>
        </w:numPr>
        <w:pStyle w:val="Compact"/>
      </w:pPr>
      <w:r>
        <w:t xml:space="preserve">Continue participation in advanced training and workshops to stay abreast of emerging technologies and techniques in ophthalmology.</w:t>
      </w:r>
    </w:p>
    <w:p>
      <w:pPr>
        <w:numPr>
          <w:ilvl w:val="0"/>
          <w:numId w:val="1003"/>
        </w:numPr>
        <w:pStyle w:val="Compact"/>
      </w:pPr>
      <w:r>
        <w:t xml:space="preserve">Implement regular self-audits of clinical practices to maintain and improve quality of care.</w:t>
      </w:r>
    </w:p>
    <w:bookmarkEnd w:id="30"/>
    <w:bookmarkStart w:id="31" w:name="conclusion"/>
    <w:p>
      <w:pPr>
        <w:pStyle w:val="Heading2"/>
      </w:pPr>
      <w:r>
        <w:t xml:space="preserve">8. Conclusion</w:t>
      </w:r>
    </w:p>
    <w:p>
      <w:pPr>
        <w:pStyle w:val="FirstParagraph"/>
      </w:pPr>
      <w:r>
        <w:t xml:space="preserve">This Peer Review Report concludes that the Ophthalmologist under review demonstrates a high standard of clinical competence, professional conduct, and adherence to regulatory requirements in Abu Dhabi, United Arab Emirates. The identified areas for improvement are minor and can be addressed through targeted actions. Overall, the Ophthalmologist’s contributions to the healthcare system in Abu Dhabi are valued, and their continued practice is supported with the expectation of ongoing professional development.</w:t>
      </w:r>
    </w:p>
    <w:bookmarkEnd w:id="31"/>
    <w:p>
      <w:pPr>
        <w:pStyle w:val="BodyText"/>
      </w:pPr>
      <w:r>
        <w:rPr>
          <w:bCs/>
          <w:b/>
        </w:rPr>
        <w:t xml:space="preserve">Prepared by:</w:t>
      </w:r>
      <w:r>
        <w:t xml:space="preserve"> </w:t>
      </w:r>
      <w:r>
        <w:t xml:space="preserve">[Name of Reviewer]</w:t>
      </w:r>
    </w:p>
    <w:p>
      <w:pPr>
        <w:pStyle w:val="BodyText"/>
      </w:pPr>
      <w:r>
        <w:rPr>
          <w:bCs/>
          <w:b/>
        </w:rPr>
        <w:t xml:space="preserve">Title:</w:t>
      </w:r>
      <w:r>
        <w:t xml:space="preserve"> </w:t>
      </w:r>
      <w:r>
        <w:t xml:space="preserve">[Title of Reviewer]</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Ophthalmologist - Abu Dhabi, UAE</dc:title>
  <dc:creator/>
  <dc:language>en</dc:language>
  <cp:keywords/>
  <dcterms:created xsi:type="dcterms:W3CDTF">2026-10-10T04:36:09Z</dcterms:created>
  <dcterms:modified xsi:type="dcterms:W3CDTF">2026-10-10T04:36:09Z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