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and guidelines set forth by the General Medical Council (GMC) and the Royal College of Ophthalmologists. The purpose of this review is to assess the clinical practice, professional conduct, and overall performance of the Ophthalmologist under review, who is currently practicing in the United Kingdom London. This report aims to provide a comprehensive evaluation of the Ophthalmologist's adherence to best practices, patient care standards, and regulatory requirements specific to the healthcare environment in London.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decision-making in ophthalmic care.</w:t>
      </w:r>
    </w:p>
    <w:p>
      <w:pPr>
        <w:numPr>
          <w:ilvl w:val="0"/>
          <w:numId w:val="1001"/>
        </w:numPr>
        <w:pStyle w:val="Compact"/>
      </w:pPr>
      <w:r>
        <w:t xml:space="preserve">Adherence to clinical guidelines and protocols established by the National Institute for Health and Care Excellence (NICE).</w:t>
      </w:r>
    </w:p>
    <w:p>
      <w:pPr>
        <w:numPr>
          <w:ilvl w:val="0"/>
          <w:numId w:val="1001"/>
        </w:numPr>
        <w:pStyle w:val="Compact"/>
      </w:pPr>
      <w:r>
        <w:t xml:space="preserve">Patient safety and risk management practices.</w:t>
      </w:r>
    </w:p>
    <w:p>
      <w:pPr>
        <w:numPr>
          <w:ilvl w:val="0"/>
          <w:numId w:val="1001"/>
        </w:numPr>
        <w:pStyle w:val="Compact"/>
      </w:pPr>
      <w:r>
        <w:t xml:space="preserve">Communication skills with patients, families, and multidisciplinary teams.</w:t>
      </w:r>
    </w:p>
    <w:p>
      <w:pPr>
        <w:numPr>
          <w:ilvl w:val="0"/>
          <w:numId w:val="1001"/>
        </w:numPr>
        <w:pStyle w:val="Compact"/>
      </w:pPr>
      <w:r>
        <w:t xml:space="preserve">Professionalism and ethical conduct in line with GMC expectations.</w:t>
      </w:r>
    </w:p>
    <w:p>
      <w:pPr>
        <w:numPr>
          <w:ilvl w:val="0"/>
          <w:numId w:val="1001"/>
        </w:numPr>
        <w:pStyle w:val="Compact"/>
      </w:pPr>
      <w:r>
        <w:t xml:space="preserve">Continuing Professional Development (CPD) and commitment to lifelong learning.</w:t>
      </w:r>
    </w:p>
    <w:p>
      <w:pPr>
        <w:numPr>
          <w:ilvl w:val="0"/>
          <w:numId w:val="1001"/>
        </w:numPr>
        <w:pStyle w:val="Compact"/>
      </w:pPr>
      <w:r>
        <w:t xml:space="preserve">Contribution to the ophthalmic community in the United Kingdom London.</w:t>
      </w:r>
    </w:p>
    <w:bookmarkEnd w:id="22"/>
    <w:bookmarkStart w:id="23" w:name="clinical-competence"/>
    <w:p>
      <w:pPr>
        <w:pStyle w:val="Heading2"/>
      </w:pPr>
      <w:r>
        <w:t xml:space="preserve">3. Clinical Competence</w:t>
      </w:r>
    </w:p>
    <w:p>
      <w:pPr>
        <w:pStyle w:val="FirstParagraph"/>
      </w:pPr>
      <w:r>
        <w:t xml:space="preserve">The Ophthalmologist demonstrates a high level of clinical competence in diagnosing and managing a wide range of ophthalmic conditions. Their expertise in areas such as cataract surgery, glaucoma management, and retinal diseases is evident through their consistent application of evidence-based practices. The review of case files indicates that the Ophthalmologist maintains thorough documentation, which aligns with the standards expected in the United Kingdom London healthcare system.</w:t>
      </w:r>
    </w:p>
    <w:p>
      <w:pPr>
        <w:pStyle w:val="BodyText"/>
      </w:pPr>
      <w:r>
        <w:t xml:space="preserve">Furthermore, the Ophthalmologist's ability to utilize advanced diagnostic tools, such as optical coherence tomography (OCT) and fundus photography, reflects their commitment to providing state-of-the-art care. Their surgical outcomes are comparable to national benchmarks, showcasing their proficiency in performing complex procedures with minimal complications.</w:t>
      </w:r>
    </w:p>
    <w:bookmarkEnd w:id="23"/>
    <w:bookmarkStart w:id="24" w:name="patient-care-and-safety"/>
    <w:p>
      <w:pPr>
        <w:pStyle w:val="Heading2"/>
      </w:pPr>
      <w:r>
        <w:t xml:space="preserve">4. Patient Care and Safety</w:t>
      </w:r>
    </w:p>
    <w:p>
      <w:pPr>
        <w:pStyle w:val="FirstParagraph"/>
      </w:pPr>
      <w:r>
        <w:t xml:space="preserve">Patient care is at the forefront of the Ophthalmologist's practice. The review highlights their dedication to ensuring patient safety through rigorous pre-operative assessments and post-operative follow-ups. The Ophthalmologist actively engages in shared decision-making with patients, ensuring that they are fully informed about their treatment options and potential risks.</w:t>
      </w:r>
    </w:p>
    <w:p>
      <w:pPr>
        <w:pStyle w:val="BodyText"/>
      </w:pPr>
      <w:r>
        <w:t xml:space="preserve">In the context of the United Kingdom London, where healthcare demands are high, the Ophthalmologist's ability to manage patient flow efficiently while maintaining high standards of care is commendable. Their proactive approach to identifying and mitigating risks contributes significantly to the overall safety of the patients under their care.</w:t>
      </w:r>
    </w:p>
    <w:bookmarkEnd w:id="24"/>
    <w:bookmarkStart w:id="25" w:name="communication-and-teamwork"/>
    <w:p>
      <w:pPr>
        <w:pStyle w:val="Heading2"/>
      </w:pPr>
      <w:r>
        <w:t xml:space="preserve">5. Communication and Teamwork</w:t>
      </w:r>
    </w:p>
    <w:p>
      <w:pPr>
        <w:pStyle w:val="FirstParagraph"/>
      </w:pPr>
      <w:r>
        <w:t xml:space="preserve">Effective communication is a cornerstone of successful healthcare delivery. The Ophthalmologist excels in communicating complex medical information in a clear and empathetic manner, ensuring that patients feel supported and understood. Their collaborative approach with other healthcare professionals, including optometrists, nurses, and general practitioners, enhances the continuity of care for patients in the United Kingdom London.</w:t>
      </w:r>
    </w:p>
    <w:p>
      <w:pPr>
        <w:pStyle w:val="BodyText"/>
      </w:pPr>
      <w:r>
        <w:t xml:space="preserve">The Ophthalmologist's participation in multidisciplinary team meetings and their willingness to seek input from colleagues when necessary demonstrate their commitment to teamwork and collective decision-making.</w:t>
      </w:r>
    </w:p>
    <w:bookmarkEnd w:id="25"/>
    <w:bookmarkStart w:id="26" w:name="professionalism-and-ethics"/>
    <w:p>
      <w:pPr>
        <w:pStyle w:val="Heading2"/>
      </w:pPr>
      <w:r>
        <w:t xml:space="preserve">6. Professionalism and Ethics</w:t>
      </w:r>
    </w:p>
    <w:p>
      <w:pPr>
        <w:pStyle w:val="FirstParagraph"/>
      </w:pPr>
      <w:r>
        <w:t xml:space="preserve">The Ophthalmologist upholds the highest standards of professionalism and ethical conduct. Their practice is guided by the principles outlined in the GMC's "Good Medical Practice," ensuring that patient welfare remains the primary focus. The review found no instances of unethical behavior or breaches of confidentiality, reflecting the Ophthalmologist's integrity and dedication to their profession.</w:t>
      </w:r>
    </w:p>
    <w:p>
      <w:pPr>
        <w:pStyle w:val="BodyText"/>
      </w:pPr>
      <w:r>
        <w:t xml:space="preserve">In the diverse and multicultural environment of the United Kingdom London, the Ophthalmologist demonstrates cultural sensitivity and respect for patients from various backgrounds, fostering an inclusive and welcoming atmosphere.</w:t>
      </w:r>
    </w:p>
    <w:bookmarkEnd w:id="26"/>
    <w:bookmarkStart w:id="27" w:name="continuing-professional-development"/>
    <w:p>
      <w:pPr>
        <w:pStyle w:val="Heading2"/>
      </w:pPr>
      <w:r>
        <w:t xml:space="preserve">7. Continuing Professional Development</w:t>
      </w:r>
    </w:p>
    <w:p>
      <w:pPr>
        <w:pStyle w:val="FirstParagraph"/>
      </w:pPr>
      <w:r>
        <w:t xml:space="preserve">The Ophthalmologist is actively engaged in Continuing Professional Development (CPD), regularly attending conferences, workshops, and training sessions to stay updated with the latest advancements in ophthalmology. Their commitment to lifelong learning is evident through their participation in research projects and their contributions to academic publications.</w:t>
      </w:r>
    </w:p>
    <w:p>
      <w:pPr>
        <w:pStyle w:val="BodyText"/>
      </w:pPr>
      <w:r>
        <w:t xml:space="preserve">This dedication to CPD not only benefits the Ophthalmologist's own practice but also enhances the quality of care provided to patients in the United Kingdom London.</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Ophthalmologist under review is a highly competent and dedicated professional who consistently delivers high-quality care in the United Kingdom London. Their clinical expertise, commitment to patient safety, and adherence to ethical standards make them a valuable asset to the ophthalmic community.</w:t>
      </w:r>
    </w:p>
    <w:p>
      <w:pPr>
        <w:pStyle w:val="BodyText"/>
      </w:pPr>
      <w:r>
        <w:t xml:space="preserve">Recommendations for further development include:</w:t>
      </w:r>
    </w:p>
    <w:p>
      <w:pPr>
        <w:numPr>
          <w:ilvl w:val="0"/>
          <w:numId w:val="1002"/>
        </w:numPr>
        <w:pStyle w:val="Compact"/>
      </w:pPr>
      <w:r>
        <w:t xml:space="preserve">Continuing to engage in CPD activities to stay abreast of emerging technologies and treatments.</w:t>
      </w:r>
    </w:p>
    <w:p>
      <w:pPr>
        <w:numPr>
          <w:ilvl w:val="0"/>
          <w:numId w:val="1002"/>
        </w:numPr>
        <w:pStyle w:val="Compact"/>
      </w:pPr>
      <w:r>
        <w:t xml:space="preserve">Exploring opportunities for leadership roles within the ophthalmic community in the United Kingdom London.</w:t>
      </w:r>
    </w:p>
    <w:p>
      <w:pPr>
        <w:numPr>
          <w:ilvl w:val="0"/>
          <w:numId w:val="1002"/>
        </w:numPr>
        <w:pStyle w:val="Compact"/>
      </w:pPr>
      <w:r>
        <w:t xml:space="preserve">Mentoring junior colleagues to foster the next generation of ophthalmologists.</w:t>
      </w:r>
    </w:p>
    <w:bookmarkEnd w:id="28"/>
    <w:p>
      <w:pPr>
        <w:pStyle w:val="FirstParagraph"/>
      </w:pPr>
      <w:r>
        <w:rPr>
          <w:bCs/>
          <w:b/>
        </w:rPr>
        <w:t xml:space="preserve">Reviewed by:</w:t>
      </w:r>
    </w:p>
    <w:p>
      <w:pPr>
        <w:pStyle w:val="BodyText"/>
      </w:pPr>
      <w:r>
        <w:t xml:space="preserve">Dr. Jane Doe</w:t>
      </w:r>
    </w:p>
    <w:p>
      <w:pPr>
        <w:pStyle w:val="BodyText"/>
      </w:pPr>
      <w:r>
        <w:t xml:space="preserve">Senior Consultant Ophthalmologist</w:t>
      </w:r>
    </w:p>
    <w:p>
      <w:pPr>
        <w:pStyle w:val="BodyText"/>
      </w:pPr>
      <w:r>
        <w:t xml:space="preserve">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United Kingdom London</dc:title>
  <dc:creator/>
  <dc:language>en</dc:language>
  <cp:keywords/>
  <dcterms:created xsi:type="dcterms:W3CDTF">2026-10-10T05:54:16Z</dcterms:created>
  <dcterms:modified xsi:type="dcterms:W3CDTF">2026-10-10T05:54:16Z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