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Ophthalmology</w:t>
      </w:r>
      <w:r>
        <w:t xml:space="preserve"> </w:t>
      </w:r>
      <w:r>
        <w:t xml:space="preserve">Practice</w:t>
      </w:r>
    </w:p>
    <w:bookmarkStart w:id="29" w:name="peer-review-report"/>
    <w:p>
      <w:pPr>
        <w:pStyle w:val="Heading1"/>
      </w:pPr>
      <w:r>
        <w:t xml:space="preserve">Peer Review Report</w:t>
      </w:r>
    </w:p>
    <w:bookmarkStart w:id="20" w:name="executive-summary"/>
    <w:p>
      <w:pPr>
        <w:pStyle w:val="Heading2"/>
      </w:pPr>
      <w:r>
        <w:t xml:space="preserve">1. Executive Summary</w:t>
      </w:r>
    </w:p>
    <w:p>
      <w:pPr>
        <w:pStyle w:val="FirstParagraph"/>
      </w:pPr>
      <w:r>
        <w:t xml:space="preserve">This Peer Review Report has been commissioned to evaluate the clinical practice, operational efficiency, and patient care standards of an Ophthalmologist operating within the United Kingdom Manchester region. The review was conducted in accordance with the General Medical Council (GMC) guidelines and the specific requirements of the local Clinical Commissioning Group (CCG). The primary objective was to assess the quality of care provided to patients suffering from ocular conditions, ensuring alignment with national standards set by the National Institute for Health and Care Excellence (NICE).</w:t>
      </w:r>
    </w:p>
    <w:bookmarkEnd w:id="20"/>
    <w:bookmarkStart w:id="21" w:name="practitioner-and-practice-details"/>
    <w:p>
      <w:pPr>
        <w:pStyle w:val="Heading2"/>
      </w:pPr>
      <w:r>
        <w:t xml:space="preserve">2. Practitioner and Practice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Practitioner Name</w:t>
            </w:r>
          </w:p>
        </w:tc>
        <w:tc>
          <w:tcPr/>
          <w:p>
            <w:pPr>
              <w:pStyle w:val="Compact"/>
              <w:jc w:val="left"/>
            </w:pPr>
            <w:r>
              <w:t xml:space="preserve">Dr. [Name Redacted for Confidentiality]</w:t>
            </w:r>
          </w:p>
        </w:tc>
      </w:tr>
      <w:tr>
        <w:tc>
          <w:tcPr/>
          <w:p>
            <w:pPr>
              <w:pStyle w:val="Compact"/>
              <w:jc w:val="left"/>
            </w:pPr>
            <w:r>
              <w:t xml:space="preserve">Specialty</w:t>
            </w:r>
          </w:p>
        </w:tc>
        <w:tc>
          <w:tcPr/>
          <w:p>
            <w:pPr>
              <w:pStyle w:val="Compact"/>
              <w:jc w:val="left"/>
            </w:pPr>
            <w:r>
              <w:t xml:space="preserve">Ophthalmology</w:t>
            </w:r>
          </w:p>
        </w:tc>
      </w:tr>
      <w:tr>
        <w:tc>
          <w:tcPr/>
          <w:p>
            <w:pPr>
              <w:pStyle w:val="Compact"/>
              <w:jc w:val="left"/>
            </w:pPr>
            <w:r>
              <w:t xml:space="preserve">Location</w:t>
            </w:r>
          </w:p>
        </w:tc>
        <w:tc>
          <w:tcPr/>
          <w:p>
            <w:pPr>
              <w:pStyle w:val="Compact"/>
              <w:jc w:val="left"/>
            </w:pPr>
            <w:r>
              <w:t xml:space="preserve">Manchester, United Kingdom</w:t>
            </w:r>
          </w:p>
        </w:tc>
      </w:tr>
      <w:tr>
        <w:tc>
          <w:tcPr/>
          <w:p>
            <w:pPr>
              <w:pStyle w:val="Compact"/>
              <w:jc w:val="left"/>
            </w:pPr>
            <w:r>
              <w:t xml:space="preserve">Review Date</w:t>
            </w:r>
          </w:p>
        </w:tc>
        <w:tc>
          <w:tcPr/>
          <w:p>
            <w:pPr>
              <w:pStyle w:val="Compact"/>
              <w:jc w:val="left"/>
            </w:pPr>
            <w:r>
              <w:t xml:space="preserve">October 2023</w:t>
            </w:r>
          </w:p>
        </w:tc>
      </w:tr>
      <w:tr>
        <w:tc>
          <w:tcPr/>
          <w:p>
            <w:pPr>
              <w:pStyle w:val="Compact"/>
              <w:jc w:val="left"/>
            </w:pPr>
            <w:r>
              <w:t xml:space="preserve">Reviewers</w:t>
            </w:r>
          </w:p>
        </w:tc>
        <w:tc>
          <w:tcPr/>
          <w:p>
            <w:pPr>
              <w:pStyle w:val="Compact"/>
              <w:jc w:val="left"/>
            </w:pPr>
            <w:r>
              <w:t xml:space="preserve">Panel of Senior Ophthalmologists and Healthcare Auditors</w:t>
            </w:r>
          </w:p>
        </w:tc>
      </w:tr>
    </w:tbl>
    <w:bookmarkEnd w:id="21"/>
    <w:bookmarkStart w:id="22" w:name="clinical-competence-and-standards"/>
    <w:p>
      <w:pPr>
        <w:pStyle w:val="Heading2"/>
      </w:pPr>
      <w:r>
        <w:t xml:space="preserve">3. Clinical Competence and Standards</w:t>
      </w:r>
    </w:p>
    <w:p>
      <w:pPr>
        <w:pStyle w:val="FirstParagraph"/>
      </w:pPr>
      <w:r>
        <w:t xml:space="preserve">The core of this Peer Review Report focuses on the clinical acumen of the Ophthalmologist. The review panel examined a random sample of 50 patient files covering a range of conditions, including glaucoma, cataracts, diabetic retinopathy, and macular degeneration. The findings indicate that the practitioner demonstrates a high level of diagnostic accuracy and clinical judgment.</w:t>
      </w:r>
    </w:p>
    <w:p>
      <w:pPr>
        <w:pStyle w:val="BodyText"/>
      </w:pPr>
      <w:r>
        <w:t xml:space="preserve">In the context of the United Kingdom Manchester healthcare system, where patient demographics are diverse and complex, the Ophthalmologist has shown particular proficiency in managing multi-morbidity cases. The treatment plans observed were consistent with the latest NICE guidelines. For instance, the management of age-related macular degeneration showed appropriate use of anti-VEGF therapies, with clear documentation of dosage and follow-up intervals.</w:t>
      </w:r>
    </w:p>
    <w:bookmarkEnd w:id="22"/>
    <w:bookmarkStart w:id="23" w:name="patient-safety-and-risk-management"/>
    <w:p>
      <w:pPr>
        <w:pStyle w:val="Heading2"/>
      </w:pPr>
      <w:r>
        <w:t xml:space="preserve">4. Patient Safety and Risk Management</w:t>
      </w:r>
    </w:p>
    <w:p>
      <w:pPr>
        <w:pStyle w:val="FirstParagraph"/>
      </w:pPr>
      <w:r>
        <w:t xml:space="preserve">Patient safety is paramount in ophthalmic surgery and treatment. This report assesses the protocols in place to mitigate risks during procedures such as phacoemulsification and laser treatments. The Ophthalmologist’s practice in Manchester adheres strictly to the "Never Events" list published by NHS England.</w:t>
      </w:r>
    </w:p>
    <w:p>
      <w:pPr>
        <w:pStyle w:val="BodyText"/>
      </w:pPr>
      <w:r>
        <w:t xml:space="preserve">The review found that informed consent processes are robust. Patients are provided with comprehensive information regarding potential complications, such as endophthalmitis or retinal detachment, ensuring they make fully informed decisions. Furthermore, the infection control measures within the clinic meet the stringent standards required by the Health and Safety Executive (HSE) in the United Kingdom.</w:t>
      </w:r>
    </w:p>
    <w:bookmarkEnd w:id="23"/>
    <w:bookmarkStart w:id="24" w:name="communication-and-patient-experience"/>
    <w:p>
      <w:pPr>
        <w:pStyle w:val="Heading2"/>
      </w:pPr>
      <w:r>
        <w:t xml:space="preserve">5. Communication and Patient Experience</w:t>
      </w:r>
    </w:p>
    <w:p>
      <w:pPr>
        <w:pStyle w:val="FirstParagraph"/>
      </w:pPr>
      <w:r>
        <w:t xml:space="preserve">Effective communication is a critical component of high-quality healthcare. The Peer Review Report highlights that the Ophthalmologist maintains excellent rapport with patients. Feedback from patient surveys conducted within the Manchester area suggests high satisfaction rates regarding the clarity of explanations and the empathy shown during consultations.</w:t>
      </w:r>
    </w:p>
    <w:p>
      <w:pPr>
        <w:pStyle w:val="BodyText"/>
      </w:pPr>
      <w:r>
        <w:t xml:space="preserve">The practitioner effectively communicates with multidisciplinary teams, including optometrists, general practitioners, and endocrinologists. This collaborative approach is essential for managing systemic conditions that affect ocular health, such as diabetes and hypertension, which are prevalent in the Manchester population.</w:t>
      </w:r>
    </w:p>
    <w:bookmarkEnd w:id="24"/>
    <w:bookmarkStart w:id="25" w:name="Xb37de5b4191a7eb83c1cc4758fac34b3b558f6d"/>
    <w:p>
      <w:pPr>
        <w:pStyle w:val="Heading2"/>
      </w:pPr>
      <w:r>
        <w:t xml:space="preserve">6. Professional Development and Continuing Education</w:t>
      </w:r>
    </w:p>
    <w:p>
      <w:pPr>
        <w:pStyle w:val="FirstParagraph"/>
      </w:pPr>
      <w:r>
        <w:t xml:space="preserve">To maintain registration with the GMC, an Ophthalmologist must engage in Continuous Professional Development (CPD). This report confirms that the practitioner is actively involved in CPD activities. The Ophthalmologist has attended recent conferences on ophthalmic surgery and has participated in local audit groups within the United Kingdom Manchester region.</w:t>
      </w:r>
    </w:p>
    <w:p>
      <w:pPr>
        <w:pStyle w:val="BodyText"/>
      </w:pPr>
      <w:r>
        <w:t xml:space="preserve">Evidence of reflective practice was found in the practitioner’s portfolio, demonstrating a commitment to learning from clinical experiences and adapting practices based on new evidence. This dedication to professional growth ensures that the standard of care remains at the forefront of medical science.</w:t>
      </w:r>
    </w:p>
    <w:bookmarkEnd w:id="25"/>
    <w:bookmarkStart w:id="26" w:name="Xbc1b2168ae09984648c4b0567d000aadde8df59"/>
    <w:p>
      <w:pPr>
        <w:pStyle w:val="Heading2"/>
      </w:pPr>
      <w:r>
        <w:t xml:space="preserve">7. Operational Efficiency and Resource Management</w:t>
      </w:r>
    </w:p>
    <w:p>
      <w:pPr>
        <w:pStyle w:val="FirstParagraph"/>
      </w:pPr>
      <w:r>
        <w:t xml:space="preserve">The review also considered the operational aspects of the practice. The Ophthalmologist manages clinic time efficiently, minimizing patient waiting times while ensuring thorough examinations. The use of digital health records is optimized, facilitating easy access to patient history and imaging data. This efficiency is crucial in a busy urban center like Manchester, where demand for specialist eye care is high.</w:t>
      </w:r>
    </w:p>
    <w:bookmarkEnd w:id="26"/>
    <w:bookmarkStart w:id="27"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adhere to NICE guidelines and update protocols as new evidence emerges.</w:t>
      </w:r>
    </w:p>
    <w:p>
      <w:pPr>
        <w:numPr>
          <w:ilvl w:val="0"/>
          <w:numId w:val="1001"/>
        </w:numPr>
        <w:pStyle w:val="Compact"/>
      </w:pPr>
      <w:r>
        <w:t xml:space="preserve">Enhance patient education materials regarding post-operative care to further reduce complication rates.</w:t>
      </w:r>
    </w:p>
    <w:p>
      <w:pPr>
        <w:numPr>
          <w:ilvl w:val="0"/>
          <w:numId w:val="1001"/>
        </w:numPr>
        <w:pStyle w:val="Compact"/>
      </w:pPr>
      <w:r>
        <w:t xml:space="preserve">Maintain current levels of engagement with local multidisciplinary teams in Manchester to support integrated care pathways.</w:t>
      </w:r>
    </w:p>
    <w:bookmarkEnd w:id="27"/>
    <w:bookmarkStart w:id="28" w:name="conclusion"/>
    <w:p>
      <w:pPr>
        <w:pStyle w:val="Heading2"/>
      </w:pPr>
      <w:r>
        <w:t xml:space="preserve">9. Conclusion</w:t>
      </w:r>
    </w:p>
    <w:p>
      <w:pPr>
        <w:pStyle w:val="FirstParagraph"/>
      </w:pPr>
      <w:r>
        <w:t xml:space="preserve">In conclusion, this Peer Review Report affirms that the Ophthalmologist under review provides a high standard of care that is fully compliant with the regulatory requirements of the United Kingdom. The practice is safe, effective, and patient-centered. The Ophthalmologist demonstrates the clinical expertise and professional integrity required to serve the diverse population of Manchester. No immediate concerns were identified that would warrant further investigation or intervention.</w:t>
      </w:r>
    </w:p>
    <w:p>
      <w:pPr>
        <w:pStyle w:val="BodyText"/>
      </w:pPr>
      <w:r>
        <w:rPr>
          <w:bCs/>
          <w:b/>
        </w:rPr>
        <w:t xml:space="preserve">Report Prepared By:</w:t>
      </w:r>
    </w:p>
    <w:p>
      <w:pPr>
        <w:pStyle w:val="BodyText"/>
      </w:pPr>
      <w:r>
        <w:t xml:space="preserve">Senior Review Panel</w:t>
      </w:r>
    </w:p>
    <w:p>
      <w:pPr>
        <w:pStyle w:val="BodyText"/>
      </w:pPr>
      <w:r>
        <w:t xml:space="preserve">Ophthalmology Quality Assurance Group</w:t>
      </w:r>
    </w:p>
    <w:p>
      <w:pPr>
        <w:pStyle w:val="BodyText"/>
      </w:pPr>
      <w:r>
        <w:t xml:space="preserve">Manchester, United Kingdom</w:t>
      </w:r>
    </w:p>
    <w:p>
      <w:pPr>
        <w:pStyle w:val="BodyText"/>
      </w:pPr>
      <w:r>
        <w:rPr>
          <w:iCs/>
          <w:i/>
        </w:rPr>
        <w:t xml:space="preserve">Signature of Lead Reviewer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Ophthalmology Practice</dc:title>
  <dc:creator/>
  <dc:language>en</dc:language>
  <cp:keywords/>
  <dcterms:created xsi:type="dcterms:W3CDTF">2026-10-10T04:35:50Z</dcterms:created>
  <dcterms:modified xsi:type="dcterms:W3CDTF">2026-10-10T04:35:50Z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