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Ophthalmologist</w:t>
      </w:r>
      <w:r>
        <w:t xml:space="preserve"> </w:t>
      </w:r>
      <w:r>
        <w:t xml:space="preserve">-</w:t>
      </w:r>
      <w:r>
        <w:t xml:space="preserve"> </w:t>
      </w:r>
      <w:r>
        <w:t xml:space="preserve">New</w:t>
      </w:r>
      <w:r>
        <w:t xml:space="preserve"> </w:t>
      </w:r>
      <w:r>
        <w:t xml:space="preserve">York</w:t>
      </w:r>
      <w:r>
        <w:t xml:space="preserve"> </w:t>
      </w:r>
      <w:r>
        <w:t xml:space="preserve">City</w:t>
      </w:r>
    </w:p>
    <w:bookmarkStart w:id="20" w:name="confidential-peer-review-report"/>
    <w:p>
      <w:pPr>
        <w:pStyle w:val="Heading1"/>
      </w:pPr>
      <w:r>
        <w:t xml:space="preserve">CONFIDENTIAL PEER REVIEW REPORT</w:t>
      </w:r>
    </w:p>
    <w:p>
      <w:pPr>
        <w:pStyle w:val="FirstParagraph"/>
      </w:pPr>
      <w:r>
        <w:rPr>
          <w:bCs/>
          <w:b/>
        </w:rPr>
        <w:t xml:space="preserve">Subject:</w:t>
      </w:r>
      <w:r>
        <w:t xml:space="preserve"> </w:t>
      </w:r>
      <w:r>
        <w:t xml:space="preserve">Clinical Performance Evaluation of Ophthalmologist</w:t>
      </w:r>
    </w:p>
    <w:p>
      <w:pPr>
        <w:pStyle w:val="BodyText"/>
      </w:pPr>
      <w:r>
        <w:rPr>
          <w:bCs/>
          <w:b/>
        </w:rPr>
        <w:t xml:space="preserve">Location:</w:t>
      </w:r>
      <w:r>
        <w:t xml:space="preserve"> </w:t>
      </w:r>
      <w:r>
        <w:t xml:space="preserve">United States, New York City</w:t>
      </w:r>
    </w:p>
    <w:p>
      <w:pPr>
        <w:pStyle w:val="BodyText"/>
      </w:pPr>
      <w:r>
        <w:rPr>
          <w:bCs/>
          <w:b/>
        </w:rPr>
        <w:t xml:space="preserve">Date of Report:</w:t>
      </w:r>
      <w:r>
        <w:t xml:space="preserve"> </w:t>
      </w:r>
      <w:r>
        <w:t xml:space="preserve">October 24, 2023</w:t>
      </w:r>
    </w:p>
    <w:p>
      <w:pPr>
        <w:pStyle w:val="BodyText"/>
      </w:pPr>
      <w:r>
        <w:rPr>
          <w:bCs/>
          <w:b/>
        </w:rPr>
        <w:t xml:space="preserve">Review Committee:</w:t>
      </w:r>
      <w:r>
        <w:t xml:space="preserve"> </w:t>
      </w:r>
      <w:r>
        <w:t xml:space="preserve">Department of Ophthalmology Quality Assurance Committee</w:t>
      </w:r>
    </w:p>
    <w:bookmarkEnd w:id="20"/>
    <w:bookmarkStart w:id="21" w:name="executive-summary"/>
    <w:p>
      <w:pPr>
        <w:pStyle w:val="Heading2"/>
      </w:pPr>
      <w:r>
        <w:t xml:space="preserve">1. Executive Summary</w:t>
      </w:r>
    </w:p>
    <w:p>
      <w:pPr>
        <w:pStyle w:val="FirstParagraph"/>
      </w:pPr>
      <w:r>
        <w:t xml:space="preserve">This Peer Review Report has been convened to assess the clinical competence, professional conduct, and adherence to standard medical practices of a licensed Ophthalmologist practicing within the jurisdiction of New York City, United States. The review was initiated following a routine quality assurance audit mandated by the hospital's bylaws and in accordance with the standards set forth by the New York State Department of Health. The primary objective of this evaluation is to ensure that the Ophthalmologist maintains the highest level of patient care, diagnostic accuracy, and surgical proficiency expected in a major metropolitan medical center.</w:t>
      </w:r>
    </w:p>
    <w:p>
      <w:pPr>
        <w:pStyle w:val="BodyText"/>
      </w:pPr>
      <w:r>
        <w:t xml:space="preserve">The findings presented herein are based on a comprehensive analysis of patient records, surgical outcomes, peer feedback, and compliance with regulatory frameworks specific to the United States healthcare system. The review process was conducted with strict confidentiality to protect the privacy of patients and the professional standing of the physician under review.</w:t>
      </w:r>
    </w:p>
    <w:bookmarkEnd w:id="21"/>
    <w:bookmarkStart w:id="22" w:name="scope-and-methodology"/>
    <w:p>
      <w:pPr>
        <w:pStyle w:val="Heading2"/>
      </w:pPr>
      <w:r>
        <w:t xml:space="preserve">2. Scope and Methodology</w:t>
      </w:r>
    </w:p>
    <w:p>
      <w:pPr>
        <w:pStyle w:val="FirstParagraph"/>
      </w:pPr>
      <w:r>
        <w:t xml:space="preserve">The scope of this Peer Review Report encompasses the Ophthalmologist's practice over the preceding twelve months. The review committee utilized a multi-faceted approach to gather data, ensuring a holistic view of the physician's performance. Key methodologies included:</w:t>
      </w:r>
    </w:p>
    <w:p>
      <w:pPr>
        <w:numPr>
          <w:ilvl w:val="0"/>
          <w:numId w:val="1001"/>
        </w:numPr>
        <w:pStyle w:val="Compact"/>
      </w:pPr>
      <w:r>
        <w:rPr>
          <w:bCs/>
          <w:b/>
        </w:rPr>
        <w:t xml:space="preserve">Chart Audits:</w:t>
      </w:r>
      <w:r>
        <w:t xml:space="preserve"> </w:t>
      </w:r>
      <w:r>
        <w:t xml:space="preserve">A random sampling of 50 patient charts was reviewed to assess documentation quality, diagnostic reasoning, and treatment planning.</w:t>
      </w:r>
    </w:p>
    <w:p>
      <w:pPr>
        <w:numPr>
          <w:ilvl w:val="0"/>
          <w:numId w:val="1001"/>
        </w:numPr>
        <w:pStyle w:val="Compact"/>
      </w:pPr>
      <w:r>
        <w:rPr>
          <w:bCs/>
          <w:b/>
        </w:rPr>
        <w:t xml:space="preserve">Surgical Outcomes Analysis:</w:t>
      </w:r>
      <w:r>
        <w:t xml:space="preserve"> </w:t>
      </w:r>
      <w:r>
        <w:t xml:space="preserve">Evaluation of complication rates for common procedures such as cataract extraction, LASIK, and glaucoma surgeries, compared against national benchmarks.</w:t>
      </w:r>
    </w:p>
    <w:p>
      <w:pPr>
        <w:numPr>
          <w:ilvl w:val="0"/>
          <w:numId w:val="1001"/>
        </w:numPr>
        <w:pStyle w:val="Compact"/>
      </w:pPr>
      <w:r>
        <w:rPr>
          <w:bCs/>
          <w:b/>
        </w:rPr>
        <w:t xml:space="preserve">Peer Consultation:</w:t>
      </w:r>
      <w:r>
        <w:t xml:space="preserve"> </w:t>
      </w:r>
      <w:r>
        <w:t xml:space="preserve">Interviews with fellow Ophthalmologists and referring optometrists within New York City to gauge professional reputation and collaborative effectiveness.</w:t>
      </w:r>
    </w:p>
    <w:p>
      <w:pPr>
        <w:numPr>
          <w:ilvl w:val="0"/>
          <w:numId w:val="1001"/>
        </w:numPr>
        <w:pStyle w:val="Compact"/>
      </w:pPr>
      <w:r>
        <w:rPr>
          <w:bCs/>
          <w:b/>
        </w:rPr>
        <w:t xml:space="preserve">Regulatory Compliance:</w:t>
      </w:r>
      <w:r>
        <w:t xml:space="preserve"> </w:t>
      </w:r>
      <w:r>
        <w:t xml:space="preserve">Verification of adherence to New York State medical laws, HIPAA regulations, and institutional protocols.</w:t>
      </w:r>
    </w:p>
    <w:bookmarkEnd w:id="22"/>
    <w:bookmarkStart w:id="23" w:name="clinical-competence-and-patient-care"/>
    <w:p>
      <w:pPr>
        <w:pStyle w:val="Heading2"/>
      </w:pPr>
      <w:r>
        <w:t xml:space="preserve">3. Clinical Competence and Patient Care</w:t>
      </w:r>
    </w:p>
    <w:p>
      <w:pPr>
        <w:pStyle w:val="FirstParagraph"/>
      </w:pPr>
      <w:r>
        <w:t xml:space="preserve">The Ophthalmologist demonstrates a high level of clinical competence in the diagnosis and management of ocular diseases. The review of patient charts indicates that diagnostic assessments are thorough, utilizing advanced imaging technologies standard in New York City medical facilities. Treatment plans are evidence-based and align with current guidelines established by the American Academy of Ophthalmology.</w:t>
      </w:r>
    </w:p>
    <w:p>
      <w:pPr>
        <w:pStyle w:val="BodyText"/>
      </w:pPr>
      <w:r>
        <w:t xml:space="preserve">In the realm of surgical practice, the Ophthalmologist's complication rates are within acceptable limits. Specifically, the post-operative infection rates for cataract surgeries are below the national average, reflecting strict adherence to sterile techniques and pre-operative protocols. However, the committee noted a minor area for improvement regarding the documentation of informed consent discussions. While the consent forms are signed, the detailed notes regarding specific risks discussed with patients could be more robust to meet the stringent legal standards of the United States.</w:t>
      </w:r>
    </w:p>
    <w:bookmarkEnd w:id="23"/>
    <w:bookmarkStart w:id="24" w:name="professional-conduct-and-communication"/>
    <w:p>
      <w:pPr>
        <w:pStyle w:val="Heading2"/>
      </w:pPr>
      <w:r>
        <w:t xml:space="preserve">4. Professional Conduct and Communication</w:t>
      </w:r>
    </w:p>
    <w:p>
      <w:pPr>
        <w:pStyle w:val="FirstParagraph"/>
      </w:pPr>
      <w:r>
        <w:t xml:space="preserve">Professional conduct is a critical component of medical practice in a diverse and high-pressure environment like New York City. Feedback from peers and staff indicates that the Ophthalmologist maintains a respectful and collaborative demeanor. The physician is responsive to consultations and actively participates in departmental meetings.</w:t>
      </w:r>
    </w:p>
    <w:p>
      <w:pPr>
        <w:pStyle w:val="BodyText"/>
      </w:pPr>
      <w:r>
        <w:t xml:space="preserve">Patient communication is generally effective, with high satisfaction scores reported in patient surveys. The Ophthalmologist is noted for explaining complex ocular conditions in understandable terms. Nevertheless, there were isolated instances where communication with referring providers was delayed. To enhance continuity of care, it is recommended that the Ophthalmologist prioritize timely responses to referral inquiries, particularly in urgent cases.</w:t>
      </w:r>
    </w:p>
    <w:bookmarkEnd w:id="24"/>
    <w:bookmarkStart w:id="25" w:name="compliance-with-regulations-and-ethics"/>
    <w:p>
      <w:pPr>
        <w:pStyle w:val="Heading2"/>
      </w:pPr>
      <w:r>
        <w:t xml:space="preserve">5. Compliance with Regulations and Ethics</w:t>
      </w:r>
    </w:p>
    <w:p>
      <w:pPr>
        <w:pStyle w:val="FirstParagraph"/>
      </w:pPr>
      <w:r>
        <w:t xml:space="preserve">The review confirms that the Ophthalmologist is in full compliance with all relevant federal and state regulations. This includes adherence to the Health Insurance Portability and Accountability Act (HIPAA) regarding patient privacy and data security. The physician's license is current with the New York State Education Department, and there are no pending disciplinary actions.</w:t>
      </w:r>
    </w:p>
    <w:p>
      <w:pPr>
        <w:pStyle w:val="BodyText"/>
      </w:pPr>
      <w:r>
        <w:t xml:space="preserve">Ethical standards are upheld, with no evidence of conflicts of interest or inappropriate prescribing practices. The Ophthalmologist follows ethical guidelines in the use of medical devices and pharmaceuticals, ensuring that patient welfare remains the primary consideration in all clinical decisions.</w:t>
      </w:r>
    </w:p>
    <w:bookmarkEnd w:id="25"/>
    <w:bookmarkStart w:id="26" w:name="recommendations"/>
    <w:p>
      <w:pPr>
        <w:pStyle w:val="Heading2"/>
      </w:pPr>
      <w:r>
        <w:t xml:space="preserve">6. Recommendations</w:t>
      </w:r>
    </w:p>
    <w:p>
      <w:pPr>
        <w:pStyle w:val="FirstParagraph"/>
      </w:pPr>
      <w:r>
        <w:t xml:space="preserve">Based on the findings of this Peer Review Report, the committee offers the following recommendations to support the continued professional development of the Ophthalmologist:</w:t>
      </w:r>
    </w:p>
    <w:p>
      <w:pPr>
        <w:numPr>
          <w:ilvl w:val="0"/>
          <w:numId w:val="1002"/>
        </w:numPr>
        <w:pStyle w:val="Compact"/>
      </w:pPr>
      <w:r>
        <w:rPr>
          <w:bCs/>
          <w:b/>
        </w:rPr>
        <w:t xml:space="preserve">Enhanced Documentation:</w:t>
      </w:r>
      <w:r>
        <w:t xml:space="preserve"> </w:t>
      </w:r>
      <w:r>
        <w:t xml:space="preserve">Implement a checklist for informed consent discussions to ensure all potential risks and alternatives are explicitly documented in the patient's medical record.</w:t>
      </w:r>
    </w:p>
    <w:p>
      <w:pPr>
        <w:numPr>
          <w:ilvl w:val="0"/>
          <w:numId w:val="1002"/>
        </w:numPr>
        <w:pStyle w:val="Compact"/>
      </w:pPr>
      <w:r>
        <w:rPr>
          <w:bCs/>
          <w:b/>
        </w:rPr>
        <w:t xml:space="preserve">Communication Protocols:</w:t>
      </w:r>
      <w:r>
        <w:t xml:space="preserve"> </w:t>
      </w:r>
      <w:r>
        <w:t xml:space="preserve">Establish a dedicated time slot daily for responding to referral inquiries and peer consultations to improve timeliness.</w:t>
      </w:r>
    </w:p>
    <w:p>
      <w:pPr>
        <w:numPr>
          <w:ilvl w:val="0"/>
          <w:numId w:val="1002"/>
        </w:numPr>
        <w:pStyle w:val="Compact"/>
      </w:pPr>
      <w:r>
        <w:rPr>
          <w:bCs/>
          <w:b/>
        </w:rPr>
        <w:t xml:space="preserve">Continuing Education:</w:t>
      </w:r>
      <w:r>
        <w:t xml:space="preserve"> </w:t>
      </w:r>
      <w:r>
        <w:t xml:space="preserve">Encourage participation in advanced workshops on emerging ophthalmic technologies to maintain leadership in the field within New York City.</w:t>
      </w:r>
    </w:p>
    <w:bookmarkEnd w:id="26"/>
    <w:bookmarkStart w:id="27" w:name="conclusion"/>
    <w:p>
      <w:pPr>
        <w:pStyle w:val="Heading2"/>
      </w:pPr>
      <w:r>
        <w:t xml:space="preserve">7. Conclusion</w:t>
      </w:r>
    </w:p>
    <w:p>
      <w:pPr>
        <w:pStyle w:val="FirstParagraph"/>
      </w:pPr>
      <w:r>
        <w:t xml:space="preserve">In conclusion, this Peer Review Report affirms that the Ophthalmologist under review is a competent and ethical practitioner who provides high-quality care to patients in New York City, United States. The minor areas identified for improvement are addressed through constructive recommendations aimed at enhancing documentation and communication practices. The committee is confident that the Ophthalmologist will implement these suggestions to further elevate the standard of care. This report serves as a testament to the ongoing commitment to quality assurance and patient safety within our medical institution.</w:t>
      </w:r>
    </w:p>
    <w:bookmarkEnd w:id="27"/>
    <w:p>
      <w:pPr>
        <w:pStyle w:val="BodyText"/>
      </w:pPr>
      <w:r>
        <w:rPr>
          <w:bCs/>
          <w:b/>
        </w:rPr>
        <w:t xml:space="preserve">Prepared by:</w:t>
      </w:r>
    </w:p>
    <w:p>
      <w:pPr>
        <w:pStyle w:val="BodyText"/>
      </w:pPr>
      <w:r>
        <w:t xml:space="preserve">Dr. Jane Doe, MD, FACS</w:t>
      </w:r>
    </w:p>
    <w:p>
      <w:pPr>
        <w:pStyle w:val="BodyText"/>
      </w:pPr>
      <w:r>
        <w:t xml:space="preserve">Chair, Peer Review Committee</w:t>
      </w:r>
    </w:p>
    <w:p>
      <w:pPr>
        <w:pStyle w:val="BodyText"/>
      </w:pPr>
      <w:r>
        <w:t xml:space="preserve">Department of Ophthalmology</w:t>
      </w:r>
    </w:p>
    <w:p>
      <w:pPr>
        <w:pStyle w:val="BodyText"/>
      </w:pPr>
      <w:r>
        <w:t xml:space="preserve">New York City, New York</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Ophthalmologist - New York City</dc:title>
  <dc:creator/>
  <dc:language>en</dc:language>
  <cp:keywords/>
  <dcterms:created xsi:type="dcterms:W3CDTF">2026-10-10T05:53:02Z</dcterms:created>
  <dcterms:modified xsi:type="dcterms:W3CDTF">2026-10-10T05:53:02Z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