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Conduct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San Francisco, California, United States</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San Francisco Medical Quality Assurance Board</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California Medical Board and the local healthcare regulations governing medical practice in San Francisco, United States. The purpose of this document is to provide a comprehensive evaluation of the clinical performance, professional conduct, and adherence to medical standards of the subject Ophthalmologist. This review is conducted to ensure the highest quality of patient care, maintain public trust, and uphold the integrity of the medical profession within the diverse and demanding healthcare environment of San Francisco.</w:t>
      </w:r>
    </w:p>
    <w:p>
      <w:pPr>
        <w:pStyle w:val="BodyText"/>
      </w:pPr>
      <w:r>
        <w:t xml:space="preserve">The review process involved a thorough examination of medical records, surgical outcomes, patient feedback, and professional interactions. The scope of this evaluation covers the period from January 1, 2022, to December 31, 2022, focusing on the Ophthalmologist's practice at the affiliated medical center in San Francisco.</w:t>
      </w:r>
    </w:p>
    <w:bookmarkEnd w:id="21"/>
    <w:bookmarkStart w:id="22" w:name="clinical-competence-and-quality-of-care"/>
    <w:p>
      <w:pPr>
        <w:pStyle w:val="Heading2"/>
      </w:pPr>
      <w:r>
        <w:t xml:space="preserve">2. Clinical Competence and Quality of Care</w:t>
      </w:r>
    </w:p>
    <w:p>
      <w:pPr>
        <w:pStyle w:val="FirstParagraph"/>
      </w:pPr>
      <w:r>
        <w:t xml:space="preserve">The clinical competence of the Ophthalmologist was assessed through a detailed review of patient charts, surgical logs, and diagnostic reports. The evaluation focused on the accuracy of diagnoses, appropriateness of treatment plans, and adherence to evidence-based guidelines in ophthalmology.</w:t>
      </w:r>
    </w:p>
    <w:p>
      <w:pPr>
        <w:pStyle w:val="BodyText"/>
      </w:pPr>
      <w:r>
        <w:rPr>
          <w:bCs/>
          <w:b/>
        </w:rPr>
        <w:t xml:space="preserve">Diagnostic Accuracy:</w:t>
      </w:r>
      <w:r>
        <w:t xml:space="preserve"> </w:t>
      </w:r>
      <w:r>
        <w:t xml:space="preserve">The Ophthalmologist demonstrated a high level of diagnostic accuracy, particularly in the management of complex cases such as glaucoma, macular degeneration, and diabetic retinopathy. The use of advanced diagnostic tools, including optical coherence tomography (OCT) and fundus photography, was consistent with best practices in the field.</w:t>
      </w:r>
    </w:p>
    <w:p>
      <w:pPr>
        <w:pStyle w:val="BodyText"/>
      </w:pPr>
      <w:r>
        <w:rPr>
          <w:bCs/>
          <w:b/>
        </w:rPr>
        <w:t xml:space="preserve">Surgical Outcomes:</w:t>
      </w:r>
      <w:r>
        <w:t xml:space="preserve"> </w:t>
      </w:r>
      <w:r>
        <w:t xml:space="preserve">A review of surgical procedures, including cataract surgery, LASIK, and retinal repairs, indicated favorable outcomes with low complication rates. The Ophthalmologist's surgical techniques were noted to be precise and aligned with current standards in ophthalmic surgery.</w:t>
      </w:r>
    </w:p>
    <w:p>
      <w:pPr>
        <w:pStyle w:val="BodyText"/>
      </w:pPr>
      <w:r>
        <w:rPr>
          <w:bCs/>
          <w:b/>
        </w:rPr>
        <w:t xml:space="preserve">Patient Safety:</w:t>
      </w:r>
      <w:r>
        <w:t xml:space="preserve"> </w:t>
      </w:r>
      <w:r>
        <w:t xml:space="preserve">The Ophthalmologist maintained a strong focus on patient safety, with no significant incidents of medical errors or adverse events reported during the review period. Protocols for infection control and post-operative care were consistently followed.</w:t>
      </w:r>
    </w:p>
    <w:bookmarkEnd w:id="22"/>
    <w:bookmarkStart w:id="23" w:name="professional-conduct-and-ethics"/>
    <w:p>
      <w:pPr>
        <w:pStyle w:val="Heading2"/>
      </w:pPr>
      <w:r>
        <w:t xml:space="preserve">3. Professional Conduct and Ethics</w:t>
      </w:r>
    </w:p>
    <w:p>
      <w:pPr>
        <w:pStyle w:val="FirstParagraph"/>
      </w:pPr>
      <w:r>
        <w:t xml:space="preserve">Professional conduct and ethical behavior are critical components of medical practice, particularly in a culturally diverse city like San Francisco. The Ophthalmologist was evaluated based on interactions with patients, colleagues, and healthcare staff.</w:t>
      </w:r>
    </w:p>
    <w:p>
      <w:pPr>
        <w:pStyle w:val="BodyText"/>
      </w:pPr>
      <w:r>
        <w:rPr>
          <w:bCs/>
          <w:b/>
        </w:rPr>
        <w:t xml:space="preserve">Patient Interactions:</w:t>
      </w:r>
      <w:r>
        <w:t xml:space="preserve"> </w:t>
      </w:r>
      <w:r>
        <w:t xml:space="preserve">Feedback from patients indicated that the Ophthalmologist was respectful, empathetic, and effective in communicating complex medical information. The Ophthalmologist demonstrated cultural sensitivity, which is essential in serving the diverse population of San Francisco.</w:t>
      </w:r>
    </w:p>
    <w:p>
      <w:pPr>
        <w:pStyle w:val="BodyText"/>
      </w:pPr>
      <w:r>
        <w:rPr>
          <w:bCs/>
          <w:b/>
        </w:rPr>
        <w:t xml:space="preserve">Colleague Relationships:</w:t>
      </w:r>
      <w:r>
        <w:t xml:space="preserve"> </w:t>
      </w:r>
      <w:r>
        <w:t xml:space="preserve">The Ophthalmologist maintained positive and collaborative relationships with colleagues, including other specialists, nurses, and administrative staff. There were no reports of unprofessional behavior or conflicts that could have impacted patient care.</w:t>
      </w:r>
    </w:p>
    <w:p>
      <w:pPr>
        <w:pStyle w:val="BodyText"/>
      </w:pPr>
      <w:r>
        <w:rPr>
          <w:bCs/>
          <w:b/>
        </w:rPr>
        <w:t xml:space="preserve">Ethical Standards:</w:t>
      </w:r>
      <w:r>
        <w:t xml:space="preserve"> </w:t>
      </w:r>
      <w:r>
        <w:t xml:space="preserve">The Ophthalmologist adhered to ethical guidelines, including maintaining patient confidentiality, obtaining informed consent, and avoiding conflicts of interest. The practice was found to be in compliance with the ethical standards set by the American Academy of Ophthalmology and the California Medical Board.</w:t>
      </w:r>
    </w:p>
    <w:bookmarkEnd w:id="23"/>
    <w:bookmarkStart w:id="24" w:name="Xdd2bfe9d6adc9cc02ca4ec1591be1719f005721"/>
    <w:p>
      <w:pPr>
        <w:pStyle w:val="Heading2"/>
      </w:pPr>
      <w:r>
        <w:t xml:space="preserve">4. Compliance with Regulations and Standards</w:t>
      </w:r>
    </w:p>
    <w:p>
      <w:pPr>
        <w:pStyle w:val="FirstParagraph"/>
      </w:pPr>
      <w:r>
        <w:t xml:space="preserve">The Ophthalmologist's practice was reviewed for compliance with local, state, and federal regulations, as well as professional standards in ophthalmology.</w:t>
      </w:r>
    </w:p>
    <w:p>
      <w:pPr>
        <w:pStyle w:val="BodyText"/>
      </w:pPr>
      <w:r>
        <w:rPr>
          <w:bCs/>
          <w:b/>
        </w:rPr>
        <w:t xml:space="preserve">Licensing and Certification:</w:t>
      </w:r>
      <w:r>
        <w:t xml:space="preserve"> </w:t>
      </w:r>
      <w:r>
        <w:t xml:space="preserve">The Ophthalmologist maintained valid medical licensure in the State of California and board certification in ophthalmology. Continuing medical education (CME) requirements were met, demonstrating a commitment to staying current with advancements in the field.</w:t>
      </w:r>
    </w:p>
    <w:p>
      <w:pPr>
        <w:pStyle w:val="BodyText"/>
      </w:pPr>
      <w:r>
        <w:rPr>
          <w:bCs/>
          <w:b/>
        </w:rPr>
        <w:t xml:space="preserve">Documentation:</w:t>
      </w:r>
      <w:r>
        <w:t xml:space="preserve"> </w:t>
      </w:r>
      <w:r>
        <w:t xml:space="preserve">Medical records were found to be complete, accurate, and timely. Documentation practices met the requirements of the Health Insurance Portability and Accountability Act (HIPAA) and other relevant regulations.</w:t>
      </w:r>
    </w:p>
    <w:p>
      <w:pPr>
        <w:pStyle w:val="BodyText"/>
      </w:pPr>
      <w:r>
        <w:rPr>
          <w:bCs/>
          <w:b/>
        </w:rPr>
        <w:t xml:space="preserve">Quality Improvement:</w:t>
      </w:r>
      <w:r>
        <w:t xml:space="preserve"> </w:t>
      </w:r>
      <w:r>
        <w:t xml:space="preserve">The Ophthalmologist participated in quality improvement initiatives, including regular case reviews and participation in peer discussions. This proactive approach to enhancing clinical practice is commendable and aligns with the goals of healthcare organizations in San Francisco.</w:t>
      </w:r>
    </w:p>
    <w:bookmarkEnd w:id="24"/>
    <w:bookmarkStart w:id="25" w:name="areas-for-improvement"/>
    <w:p>
      <w:pPr>
        <w:pStyle w:val="Heading2"/>
      </w:pPr>
      <w:r>
        <w:t xml:space="preserve">5. Areas for Improvement</w:t>
      </w:r>
    </w:p>
    <w:p>
      <w:pPr>
        <w:pStyle w:val="FirstParagraph"/>
      </w:pPr>
      <w:r>
        <w:t xml:space="preserve">While the overall evaluation of the Ophthalmologist was positive, the review identified a few areas for potential improvement:</w:t>
      </w:r>
    </w:p>
    <w:p>
      <w:pPr>
        <w:numPr>
          <w:ilvl w:val="0"/>
          <w:numId w:val="1001"/>
        </w:numPr>
        <w:pStyle w:val="Compact"/>
      </w:pPr>
      <w:r>
        <w:rPr>
          <w:bCs/>
          <w:b/>
        </w:rPr>
        <w:t xml:space="preserve">Wait Times:</w:t>
      </w:r>
      <w:r>
        <w:t xml:space="preserve"> </w:t>
      </w:r>
      <w:r>
        <w:t xml:space="preserve">Some patients reported longer-than-expected wait times for appointments. Implementing strategies to optimize scheduling could enhance patient satisfaction.</w:t>
      </w:r>
    </w:p>
    <w:p>
      <w:pPr>
        <w:numPr>
          <w:ilvl w:val="0"/>
          <w:numId w:val="1001"/>
        </w:numPr>
        <w:pStyle w:val="Compact"/>
      </w:pPr>
      <w:r>
        <w:rPr>
          <w:bCs/>
          <w:b/>
        </w:rPr>
        <w:t xml:space="preserve">Telemedicine Utilization:</w:t>
      </w:r>
      <w:r>
        <w:t xml:space="preserve"> </w:t>
      </w:r>
      <w:r>
        <w:t xml:space="preserve">Given the growing importance of telemedicine, especially in urban areas like San Francisco, increasing the use of virtual consultations could improve accessibility for patients.</w:t>
      </w:r>
    </w:p>
    <w:p>
      <w:pPr>
        <w:numPr>
          <w:ilvl w:val="0"/>
          <w:numId w:val="1001"/>
        </w:numPr>
        <w:pStyle w:val="Compact"/>
      </w:pPr>
      <w:r>
        <w:rPr>
          <w:bCs/>
          <w:b/>
        </w:rPr>
        <w:t xml:space="preserve">Patient Education Materials:</w:t>
      </w:r>
      <w:r>
        <w:t xml:space="preserve"> </w:t>
      </w:r>
      <w:r>
        <w:t xml:space="preserve">Providing more comprehensive patient education materials, particularly for chronic conditions like glaucoma and diabetic retinopathy, could empower patients to better manage their eye health.</w:t>
      </w:r>
    </w:p>
    <w:bookmarkEnd w:id="25"/>
    <w:bookmarkStart w:id="26" w:name="conclusion-and-recommendations"/>
    <w:p>
      <w:pPr>
        <w:pStyle w:val="Heading2"/>
      </w:pPr>
      <w:r>
        <w:t xml:space="preserve">6. Conclusion and Recommendations</w:t>
      </w:r>
    </w:p>
    <w:p>
      <w:pPr>
        <w:pStyle w:val="FirstParagraph"/>
      </w:pPr>
      <w:r>
        <w:t xml:space="preserve">Based on the comprehensive review conducted, the Ophthalmologist has demonstrated a high level of clinical competence, professional conduct, and adherence to medical standards. The practice is in compliance with all relevant regulations and contributes positively to the healthcare landscape in San Francisco, United States.</w:t>
      </w:r>
    </w:p>
    <w:p>
      <w:pPr>
        <w:pStyle w:val="BodyText"/>
      </w:pPr>
      <w:r>
        <w:t xml:space="preserve">The Peer Review Committee recommends the following:</w:t>
      </w:r>
    </w:p>
    <w:p>
      <w:pPr>
        <w:numPr>
          <w:ilvl w:val="0"/>
          <w:numId w:val="1002"/>
        </w:numPr>
        <w:pStyle w:val="Compact"/>
      </w:pPr>
      <w:r>
        <w:t xml:space="preserve">Continued monitoring of clinical outcomes and patient satisfaction.</w:t>
      </w:r>
    </w:p>
    <w:p>
      <w:pPr>
        <w:numPr>
          <w:ilvl w:val="0"/>
          <w:numId w:val="1002"/>
        </w:numPr>
        <w:pStyle w:val="Compact"/>
      </w:pPr>
      <w:r>
        <w:t xml:space="preserve">Implementation of strategies to reduce patient wait times and enhance telemedicine services.</w:t>
      </w:r>
    </w:p>
    <w:p>
      <w:pPr>
        <w:numPr>
          <w:ilvl w:val="0"/>
          <w:numId w:val="1002"/>
        </w:numPr>
        <w:pStyle w:val="Compact"/>
      </w:pPr>
      <w:r>
        <w:t xml:space="preserve">Development of additional patient education resources to support chronic disease management.</w:t>
      </w:r>
    </w:p>
    <w:p>
      <w:pPr>
        <w:pStyle w:val="FirstParagraph"/>
      </w:pPr>
      <w:r>
        <w:t xml:space="preserve">This Peer Review Report serves as a formal record of the evaluation and is intended to support ongoing efforts to maintain and improve the quality of ophthalmic care in San Francisco.</w:t>
      </w:r>
    </w:p>
    <w:bookmarkEnd w:id="26"/>
    <w:p>
      <w:pPr>
        <w:pStyle w:val="BodyText"/>
      </w:pPr>
      <w:r>
        <w:rPr>
          <w:bCs/>
          <w:b/>
        </w:rPr>
        <w:t xml:space="preserve">Prepared by:</w:t>
      </w:r>
    </w:p>
    <w:p>
      <w:pPr>
        <w:pStyle w:val="BodyText"/>
      </w:pPr>
      <w:r>
        <w:t xml:space="preserve">Dr. Jane Doe, MD</w:t>
      </w:r>
    </w:p>
    <w:p>
      <w:pPr>
        <w:pStyle w:val="BodyText"/>
      </w:pPr>
      <w:r>
        <w:t xml:space="preserve">Chair, Peer Review Committee</w:t>
      </w:r>
    </w:p>
    <w:p>
      <w:pPr>
        <w:pStyle w:val="BodyText"/>
      </w:pPr>
      <w:r>
        <w:t xml:space="preserve">San Francisco Medical Quality Assurance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San Francisco, United States</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