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Uzbekistan</w:t>
      </w:r>
      <w:r>
        <w:t xml:space="preserve"> </w:t>
      </w:r>
      <w:r>
        <w:t xml:space="preserve">Tashkent</w:t>
      </w:r>
    </w:p>
    <w:bookmarkStart w:id="30" w:name="peer-review-report-ophthalmologist"/>
    <w:p>
      <w:pPr>
        <w:pStyle w:val="Heading1"/>
      </w:pPr>
      <w:r>
        <w:t xml:space="preserve">Peer Review Report: Ophthalmologist</w:t>
      </w:r>
    </w:p>
    <w:p>
      <w:pPr>
        <w:pStyle w:val="FirstParagraph"/>
      </w:pPr>
      <w:r>
        <w:rPr>
          <w:bCs/>
          <w:b/>
        </w:rPr>
        <w:t xml:space="preserve">Location:</w:t>
      </w:r>
      <w:r>
        <w:t xml:space="preserve"> </w:t>
      </w:r>
      <w:r>
        <w:t xml:space="preserve">Uzbekistan Tashkent</w:t>
      </w:r>
      <w:r>
        <w:br/>
      </w:r>
      <w:r>
        <w:rPr>
          <w:bCs/>
          <w:b/>
        </w:rPr>
        <w:t xml:space="preserve">Date of Review:</w:t>
      </w:r>
      <w:r>
        <w:t xml:space="preserve"> </w:t>
      </w:r>
      <w:r>
        <w:t xml:space="preserve">October 24, 2023</w:t>
      </w:r>
      <w:r>
        <w:br/>
      </w:r>
      <w:r>
        <w:rPr>
          <w:bCs/>
          <w:b/>
        </w:rPr>
        <w:t xml:space="preserve">Review Type:</w:t>
      </w:r>
      <w:r>
        <w:t xml:space="preserve"> </w:t>
      </w:r>
      <w:r>
        <w:t xml:space="preserve">Clinical Competency &amp; Practice Standards</w:t>
      </w:r>
    </w:p>
    <w:p>
      <w:pPr>
        <w:pStyle w:val="BodyText"/>
      </w:pPr>
      <w:r>
        <w:rPr>
          <w:bCs/>
          <w:b/>
        </w:rPr>
        <w:t xml:space="preserve">Subject:</w:t>
      </w:r>
      <w:r>
        <w:t xml:space="preserve"> </w:t>
      </w:r>
      <w:r>
        <w:t xml:space="preserve">Dr. [Name Redacted]</w:t>
      </w:r>
      <w:r>
        <w:br/>
      </w:r>
      <w:r>
        <w:rPr>
          <w:bCs/>
          <w:b/>
        </w:rPr>
        <w:t xml:space="preserve">Specialty:</w:t>
      </w:r>
      <w:r>
        <w:t xml:space="preserve"> </w:t>
      </w:r>
      <w:r>
        <w:t xml:space="preserve">Ophthalmology</w:t>
      </w:r>
      <w:r>
        <w:br/>
      </w:r>
      <w:r>
        <w:rPr>
          <w:bCs/>
          <w:b/>
        </w:rPr>
        <w:t xml:space="preserve">Facility:</w:t>
      </w:r>
      <w:r>
        <w:t xml:space="preserve"> </w:t>
      </w:r>
      <w:r>
        <w:t xml:space="preserve">[Hospital/Clinic Name], Tashkent</w:t>
      </w:r>
    </w:p>
    <w:bookmarkStart w:id="20" w:name="executive-summary"/>
    <w:p>
      <w:pPr>
        <w:pStyle w:val="Heading2"/>
      </w:pPr>
      <w:r>
        <w:t xml:space="preserve">1. Executive Summary</w:t>
      </w:r>
    </w:p>
    <w:p>
      <w:pPr>
        <w:pStyle w:val="FirstParagraph"/>
      </w:pPr>
      <w:r>
        <w:t xml:space="preserve">This Peer Review Report has been conducted to evaluate the clinical performance, diagnostic accuracy, and surgical proficiency of an Ophthalmologist practicing in Uzbekistan Tashkent. The review was initiated to ensure alignment with international medical standards and local regulatory requirements established by the Ministry of Health of the Republic of Uzbekistan. The scope of this assessment covers a retrospective analysis of patient records, surgical outcomes, and adherence to clinical protocols over the past twelve months. The findings indicate a high level of professional competence, with specific recommendations provided for further optimization of patient care workflows.</w:t>
      </w:r>
    </w:p>
    <w:bookmarkEnd w:id="20"/>
    <w:bookmarkStart w:id="21" w:name="introduction-and-scope"/>
    <w:p>
      <w:pPr>
        <w:pStyle w:val="Heading2"/>
      </w:pPr>
      <w:r>
        <w:t xml:space="preserve">2. Introduction and Scope</w:t>
      </w:r>
    </w:p>
    <w:p>
      <w:pPr>
        <w:pStyle w:val="FirstParagraph"/>
      </w:pPr>
      <w:r>
        <w:t xml:space="preserve">The field of Ophthalmology in Uzbekistan Tashkent has seen significant advancements in recent years, driven by the integration of modern diagnostic technologies and the training of specialists in global centers of excellence. As the capital city serves as the primary hub for medical tourism and advanced healthcare in the region, maintaining rigorous standards for Ophthalmologists is paramount. This report aims to provide an objective assessment of the subject's ability to manage complex ocular conditions, ranging from refractive errors to retinal pathologies and glaucoma.</w:t>
      </w:r>
    </w:p>
    <w:p>
      <w:pPr>
        <w:pStyle w:val="BodyText"/>
      </w:pPr>
      <w:r>
        <w:t xml:space="preserve">The review process involved a multidisciplinary panel of senior ophthalmologists and medical administrators. The evaluation criteria were designed to reflect the specific healthcare landscape of Uzbekistan Tashkent, taking into account the diverse patient demographics and the availability of specialized equipment.</w:t>
      </w:r>
    </w:p>
    <w:bookmarkEnd w:id="21"/>
    <w:bookmarkStart w:id="24" w:name="X6f6d8d8ffcf3aa95c70f273d3a05cc874ff8c55"/>
    <w:p>
      <w:pPr>
        <w:pStyle w:val="Heading2"/>
      </w:pPr>
      <w:r>
        <w:t xml:space="preserve">3. Clinical Competency and Diagnostic Accuracy</w:t>
      </w:r>
    </w:p>
    <w:bookmarkStart w:id="22" w:name="diagnostic-protocols"/>
    <w:p>
      <w:pPr>
        <w:pStyle w:val="Heading3"/>
      </w:pPr>
      <w:r>
        <w:t xml:space="preserve">3.1. Diagnostic Protocols</w:t>
      </w:r>
    </w:p>
    <w:p>
      <w:pPr>
        <w:pStyle w:val="FirstParagraph"/>
      </w:pPr>
      <w:r>
        <w:t xml:space="preserve">The Ophthalmologist demonstrated a thorough understanding of current diagnostic guidelines. The review of 150 random patient files revealed that diagnostic procedures were consistently comprehensive. The utilization of advanced imaging technologies, such as Optical Coherence Tomography (OCT) and Fundus Autofluorescence, was appropriate and aligned with the standard of care expected in a major metropolitan center like Uzbekistan Tashkent.</w:t>
      </w:r>
    </w:p>
    <w:p>
      <w:pPr>
        <w:pStyle w:val="BodyText"/>
      </w:pPr>
      <w:r>
        <w:t xml:space="preserve">Specifically, the differentiation between diabetic retinopathy and hypertensive retinopathy was handled with precision. Given the rising prevalence of metabolic disorders in the region, the Ophthalmologist's proactive approach to screening and early intervention is commendable.</w:t>
      </w:r>
    </w:p>
    <w:bookmarkEnd w:id="22"/>
    <w:bookmarkStart w:id="23" w:name="treatment-planning"/>
    <w:p>
      <w:pPr>
        <w:pStyle w:val="Heading3"/>
      </w:pPr>
      <w:r>
        <w:t xml:space="preserve">3.2. Treatment Planning</w:t>
      </w:r>
    </w:p>
    <w:p>
      <w:pPr>
        <w:pStyle w:val="FirstParagraph"/>
      </w:pPr>
      <w:r>
        <w:t xml:space="preserve">Treatment plans were found to be evidence-based and tailored to individual patient needs. There was a notable emphasis on conservative management where appropriate, reserving surgical intervention for cases where it was clinically indicated. The documentation of informed consent processes was robust, ensuring that patients were fully aware of the risks and benefits associated with their treatment options.</w:t>
      </w:r>
    </w:p>
    <w:bookmarkEnd w:id="23"/>
    <w:bookmarkEnd w:id="24"/>
    <w:bookmarkStart w:id="25" w:name="surgical-proficiency-and-outcomes"/>
    <w:p>
      <w:pPr>
        <w:pStyle w:val="Heading2"/>
      </w:pPr>
      <w:r>
        <w:t xml:space="preserve">4. Surgical Proficiency and Outcomes</w:t>
      </w:r>
    </w:p>
    <w:p>
      <w:pPr>
        <w:pStyle w:val="FirstParagraph"/>
      </w:pPr>
      <w:r>
        <w:t xml:space="preserve">A significant portion of this Peer Review Report focuses on the surgical performance of the Ophthalmologist. The review analyzed 50 surgical cases, including cataract extractions with intraocular lens (IOL) implantation, laser-assisted in situ keratomileusis (LASIK), and glaucoma surgeries.</w:t>
      </w:r>
    </w:p>
    <w:p>
      <w:pPr>
        <w:numPr>
          <w:ilvl w:val="0"/>
          <w:numId w:val="1001"/>
        </w:numPr>
        <w:pStyle w:val="Compact"/>
      </w:pPr>
      <w:r>
        <w:rPr>
          <w:bCs/>
          <w:b/>
        </w:rPr>
        <w:t xml:space="preserve">Cataract Surgery:</w:t>
      </w:r>
      <w:r>
        <w:t xml:space="preserve"> </w:t>
      </w:r>
      <w:r>
        <w:t xml:space="preserve">The complication rate was below 1%, which is well within the acceptable range for international standards. Post-operative visual acuity outcomes were excellent, with 95% of patients achieving 20/40 vision or better.</w:t>
      </w:r>
    </w:p>
    <w:p>
      <w:pPr>
        <w:numPr>
          <w:ilvl w:val="0"/>
          <w:numId w:val="1001"/>
        </w:numPr>
        <w:pStyle w:val="Compact"/>
      </w:pPr>
      <w:r>
        <w:rPr>
          <w:bCs/>
          <w:b/>
        </w:rPr>
        <w:t xml:space="preserve">Refractive Surgery:</w:t>
      </w:r>
      <w:r>
        <w:t xml:space="preserve"> </w:t>
      </w:r>
      <w:r>
        <w:t xml:space="preserve">The Ophthalmologist demonstrated high proficiency in laser procedures. Patient satisfaction surveys indicated a high level of contentment with the visual results and the recovery process.</w:t>
      </w:r>
    </w:p>
    <w:p>
      <w:pPr>
        <w:numPr>
          <w:ilvl w:val="0"/>
          <w:numId w:val="1001"/>
        </w:numPr>
        <w:pStyle w:val="Compact"/>
      </w:pPr>
      <w:r>
        <w:rPr>
          <w:bCs/>
          <w:b/>
        </w:rPr>
        <w:t xml:space="preserve">Glaucoma Management:</w:t>
      </w:r>
      <w:r>
        <w:t xml:space="preserve"> </w:t>
      </w:r>
      <w:r>
        <w:t xml:space="preserve">Surgical interventions for glaucoma were performed with precision, effectively managing intraocular pressure in difficult cases.</w:t>
      </w:r>
    </w:p>
    <w:p>
      <w:pPr>
        <w:pStyle w:val="FirstParagraph"/>
      </w:pPr>
      <w:r>
        <w:t xml:space="preserve">The sterile technique and adherence to infection control protocols in the operating theaters of Uzbekistan Tashkent were strictly maintained, minimizing the risk of post-operative infections.</w:t>
      </w:r>
    </w:p>
    <w:bookmarkEnd w:id="25"/>
    <w:bookmarkStart w:id="26" w:name="patient-care-and-communication"/>
    <w:p>
      <w:pPr>
        <w:pStyle w:val="Heading2"/>
      </w:pPr>
      <w:r>
        <w:t xml:space="preserve">5. Patient Care and Communication</w:t>
      </w:r>
    </w:p>
    <w:p>
      <w:pPr>
        <w:pStyle w:val="FirstParagraph"/>
      </w:pPr>
      <w:r>
        <w:t xml:space="preserve">Effective communication is a critical component of medical practice. The Ophthalmologist was observed to possess strong interpersonal skills, capable of explaining complex ocular conditions in a manner that is easily understood by patients. The review noted that the doctor was attentive to patient concerns and provided clear instructions regarding post-operative care and medication adherence.</w:t>
      </w:r>
    </w:p>
    <w:p>
      <w:pPr>
        <w:pStyle w:val="BodyText"/>
      </w:pPr>
      <w:r>
        <w:t xml:space="preserve">Furthermore, the Ophthalmologist demonstrated cultural sensitivity and respect for the diverse backgrounds of patients in Uzbekistan Tashkent. This approach fosters trust and improves patient compliance with treatment regimens.</w:t>
      </w:r>
    </w:p>
    <w:bookmarkEnd w:id="26"/>
    <w:bookmarkStart w:id="27" w:name="adherence-to-regulatory-standards"/>
    <w:p>
      <w:pPr>
        <w:pStyle w:val="Heading2"/>
      </w:pPr>
      <w:r>
        <w:t xml:space="preserve">6. Adherence to Regulatory Standards</w:t>
      </w:r>
    </w:p>
    <w:p>
      <w:pPr>
        <w:pStyle w:val="FirstParagraph"/>
      </w:pPr>
      <w:r>
        <w:t xml:space="preserve">The practice of the Ophthalmologist was found to be in full compliance with the regulations set forth by the Ministry of Health of the Republic of Uzbekistan. Medical records were maintained accurately and securely, ensuring patient confidentiality. The use of pharmaceuticals and medical devices was documented in accordance with national guidelines.</w:t>
      </w:r>
    </w:p>
    <w:p>
      <w:pPr>
        <w:pStyle w:val="BodyText"/>
      </w:pPr>
      <w:r>
        <w:t xml:space="preserve">Additionally, the Ophthalmologist actively participates in continuing medical education (CME) programs, staying updated with the latest developments in the field. This commitment to lifelong learning is essential for maintaining high standards of care in a rapidly evolving medical environment.</w:t>
      </w:r>
    </w:p>
    <w:bookmarkEnd w:id="27"/>
    <w:bookmarkStart w:id="28" w:name="recommendations"/>
    <w:p>
      <w:pPr>
        <w:pStyle w:val="Heading2"/>
      </w:pPr>
      <w:r>
        <w:t xml:space="preserve">7. Recommendations</w:t>
      </w:r>
    </w:p>
    <w:p>
      <w:pPr>
        <w:pStyle w:val="FirstParagraph"/>
      </w:pPr>
      <w:r>
        <w:t xml:space="preserve">While the overall performance of the Ophthalmologist is highly satisfactory, the following recommendations are made to further enhance the quality of care:</w:t>
      </w:r>
    </w:p>
    <w:p>
      <w:pPr>
        <w:numPr>
          <w:ilvl w:val="0"/>
          <w:numId w:val="1002"/>
        </w:numPr>
        <w:pStyle w:val="Compact"/>
      </w:pPr>
      <w:r>
        <w:rPr>
          <w:bCs/>
          <w:b/>
        </w:rPr>
        <w:t xml:space="preserve">Enhanced Documentation:</w:t>
      </w:r>
      <w:r>
        <w:t xml:space="preserve"> </w:t>
      </w:r>
      <w:r>
        <w:t xml:space="preserve">While generally good, further standardization of surgical notes is recommended to ensure consistency across all cases.</w:t>
      </w:r>
    </w:p>
    <w:p>
      <w:pPr>
        <w:numPr>
          <w:ilvl w:val="0"/>
          <w:numId w:val="1002"/>
        </w:numPr>
        <w:pStyle w:val="Compact"/>
      </w:pPr>
      <w:r>
        <w:rPr>
          <w:bCs/>
          <w:b/>
        </w:rPr>
        <w:t xml:space="preserve">Telemedicine Integration:</w:t>
      </w:r>
      <w:r>
        <w:t xml:space="preserve"> </w:t>
      </w:r>
      <w:r>
        <w:t xml:space="preserve">Given the geographical spread of patients in Uzbekistan, the Ophthalmologist is encouraged to explore telemedicine options for follow-up consultations, particularly for chronic conditions like glaucoma.</w:t>
      </w:r>
    </w:p>
    <w:p>
      <w:pPr>
        <w:numPr>
          <w:ilvl w:val="0"/>
          <w:numId w:val="1002"/>
        </w:numPr>
        <w:pStyle w:val="Compact"/>
      </w:pPr>
      <w:r>
        <w:rPr>
          <w:bCs/>
          <w:b/>
        </w:rPr>
        <w:t xml:space="preserve">Research Contribution:</w:t>
      </w:r>
      <w:r>
        <w:t xml:space="preserve"> </w:t>
      </w:r>
      <w:r>
        <w:t xml:space="preserve">The Ophthalmologist is encouraged to contribute to local and international research publications, leveraging the unique clinical data available in Uzbekistan Tashkent.</w:t>
      </w:r>
    </w:p>
    <w:bookmarkEnd w:id="28"/>
    <w:bookmarkStart w:id="29" w:name="conclusion"/>
    <w:p>
      <w:pPr>
        <w:pStyle w:val="Heading2"/>
      </w:pPr>
      <w:r>
        <w:t xml:space="preserve">8. Conclusion</w:t>
      </w:r>
    </w:p>
    <w:p>
      <w:pPr>
        <w:pStyle w:val="FirstParagraph"/>
      </w:pPr>
      <w:r>
        <w:t xml:space="preserve">In conclusion, this Peer Review Report confirms that the Ophthalmologist under review maintains a high standard of clinical practice, surgical skill, and patient care. The findings reflect positively on the medical community of Uzbekistan Tashkent and demonstrate the capability of local specialists to deliver world-class ophthalmic care. The recommendations provided are intended to support continuous improvement and excellence in the field of Ophthalmology.</w:t>
      </w:r>
    </w:p>
    <w:p>
      <w:pPr>
        <w:pStyle w:val="BodyText"/>
      </w:pPr>
      <w:r>
        <w:rPr>
          <w:bCs/>
          <w:b/>
        </w:rPr>
        <w:t xml:space="preserve">Reviewed By:</w:t>
      </w:r>
    </w:p>
    <w:p>
      <w:pPr>
        <w:pStyle w:val="BodyText"/>
      </w:pPr>
      <w:r>
        <w:t xml:space="preserve">Dr. [Reviewer Name]</w:t>
      </w:r>
    </w:p>
    <w:p>
      <w:pPr>
        <w:pStyle w:val="BodyText"/>
      </w:pPr>
      <w:r>
        <w:t xml:space="preserve">Senior Ophthalmologist</w:t>
      </w:r>
    </w:p>
    <w:p>
      <w:pPr>
        <w:pStyle w:val="BodyText"/>
      </w:pPr>
      <w:r>
        <w:rPr>
          <w:bCs/>
          <w:b/>
        </w:rPr>
        <w:t xml:space="preserve">Approved By:</w:t>
      </w:r>
    </w:p>
    <w:p>
      <w:pPr>
        <w:pStyle w:val="BodyText"/>
      </w:pPr>
      <w:r>
        <w:t xml:space="preserve">Medical Director</w:t>
      </w:r>
    </w:p>
    <w:p>
      <w:pPr>
        <w:pStyle w:val="BodyText"/>
      </w:pPr>
      <w:r>
        <w:t xml:space="preserve">[Hospital/Clinic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Uzbekistan Tashkent</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