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w:t>
      </w:r>
      <w:r>
        <w:t xml:space="preserve"> </w:t>
      </w:r>
      <w:r>
        <w:t xml:space="preserve">Melbourne,</w:t>
      </w:r>
      <w:r>
        <w:t xml:space="preserve"> </w:t>
      </w:r>
      <w:r>
        <w:t xml:space="preserve">Australia</w:t>
      </w:r>
    </w:p>
    <w:bookmarkStart w:id="26" w:name="X2ba7efc49bc6443af2b0d7f61e6f12fdeb84ba5"/>
    <w:p>
      <w:pPr>
        <w:pStyle w:val="Heading1"/>
      </w:pPr>
      <w:r>
        <w:t xml:space="preserve">Peer Review Report: Optometrist Clinical Practice</w:t>
      </w:r>
    </w:p>
    <w:p>
      <w:pPr>
        <w:pStyle w:val="FirstParagraph"/>
      </w:pPr>
      <w:r>
        <w:rPr>
          <w:bCs/>
          <w:b/>
        </w:rPr>
        <w:t xml:space="preserve">Location:</w:t>
      </w:r>
      <w:r>
        <w:t xml:space="preserve"> </w:t>
      </w:r>
      <w:r>
        <w:t xml:space="preserve">Melbourne, Australia</w:t>
      </w:r>
      <w:r>
        <w:br/>
      </w:r>
      <w:r>
        <w:rPr>
          <w:bCs/>
          <w:b/>
        </w:rPr>
        <w:t xml:space="preserve">Date of Report:</w:t>
      </w:r>
      <w:r>
        <w:t xml:space="preserve"> </w:t>
      </w:r>
      <w:r>
        <w:t xml:space="preserve">October 24, 2023</w:t>
      </w:r>
      <w:r>
        <w:br/>
      </w:r>
      <w:r>
        <w:rPr>
          <w:bCs/>
          <w:b/>
        </w:rPr>
        <w:t xml:space="preserve">Review Period:</w:t>
      </w:r>
      <w:r>
        <w:t xml:space="preserve"> </w:t>
      </w:r>
      <w:r>
        <w:t xml:space="preserve">January 2023 - September 2023</w:t>
      </w:r>
    </w:p>
    <w:p>
      <w:pPr>
        <w:pStyle w:val="BodyText"/>
      </w:pPr>
      <w:r>
        <w:rPr>
          <w:bCs/>
          <w:b/>
        </w:rPr>
        <w:t xml:space="preserve">Regulatory Body:</w:t>
      </w:r>
      <w:r>
        <w:t xml:space="preserve"> </w:t>
      </w:r>
      <w:r>
        <w:t xml:space="preserve">Optometry Board of Australia</w:t>
      </w:r>
      <w:r>
        <w:br/>
      </w:r>
      <w:r>
        <w:rPr>
          <w:bCs/>
          <w:b/>
        </w:rPr>
        <w:t xml:space="preserve">Accreditation Standard:</w:t>
      </w:r>
      <w:r>
        <w:t xml:space="preserve"> </w:t>
      </w:r>
      <w:r>
        <w:t xml:space="preserve">AHPRA Peer Review Requirements</w:t>
      </w:r>
      <w:r>
        <w:br/>
      </w:r>
      <w:r>
        <w:rPr>
          <w:bCs/>
          <w:b/>
        </w:rPr>
        <w:t xml:space="preserve">Report ID:</w:t>
      </w:r>
      <w:r>
        <w:t xml:space="preserve"> </w:t>
      </w:r>
      <w:r>
        <w:t xml:space="preserve">MEL-OP-2023-8842</w:t>
      </w:r>
    </w:p>
    <w:bookmarkStart w:id="20" w:name="executive-summary"/>
    <w:p>
      <w:pPr>
        <w:pStyle w:val="Heading2"/>
      </w:pPr>
      <w:r>
        <w:t xml:space="preserve">1. Executive Summary</w:t>
      </w:r>
    </w:p>
    <w:p>
      <w:pPr>
        <w:pStyle w:val="FirstParagraph"/>
      </w:pPr>
      <w:r>
        <w:t xml:space="preserve">This Peer Review Report has been conducted in accordance with the mandatory professional standards set forth by the Optometry Board of Australia and the Australian Health Practitioner Regulation Agency (AHPRA). The purpose of this review is to evaluate the clinical competence, ethical conduct, and operational standards of the Optometrist based in Melbourne, Australia. Melbourne, being a hub for advanced ophthalmic research and education, demands that local practitioners adhere to the highest tiers of clinical excellence. This report confirms that the Optometrist under review has demonstrated a robust commitment to patient safety, accurate diagnosis, and continuous professional development within the specific regulatory framework of Victoria, Australia.</w:t>
      </w:r>
    </w:p>
    <w:bookmarkEnd w:id="20"/>
    <w:bookmarkStart w:id="21" w:name="scope-and-methodology"/>
    <w:p>
      <w:pPr>
        <w:pStyle w:val="Heading2"/>
      </w:pPr>
      <w:r>
        <w:t xml:space="preserve">2. Scope and Methodology</w:t>
      </w:r>
    </w:p>
    <w:p>
      <w:pPr>
        <w:pStyle w:val="FirstParagraph"/>
      </w:pPr>
      <w:r>
        <w:t xml:space="preserve">The peer review process involved a comprehensive audit of clinical records, direct observation of patient consultations, and a review of case management strategies. The methodology aligns with the National Board Standards for Optometrists. The review focused on the following key areas:</w:t>
      </w:r>
    </w:p>
    <w:p>
      <w:pPr>
        <w:numPr>
          <w:ilvl w:val="0"/>
          <w:numId w:val="1001"/>
        </w:numPr>
        <w:pStyle w:val="Compact"/>
      </w:pPr>
      <w:r>
        <w:rPr>
          <w:bCs/>
          <w:b/>
        </w:rPr>
        <w:t xml:space="preserve">Clinical Record Keeping:</w:t>
      </w:r>
      <w:r>
        <w:t xml:space="preserve"> </w:t>
      </w:r>
      <w:r>
        <w:t xml:space="preserve">Verification of compliance with Australian privacy laws and clinical documentation standards.</w:t>
      </w:r>
    </w:p>
    <w:p>
      <w:pPr>
        <w:numPr>
          <w:ilvl w:val="0"/>
          <w:numId w:val="1001"/>
        </w:numPr>
        <w:pStyle w:val="Compact"/>
      </w:pPr>
      <w:r>
        <w:rPr>
          <w:bCs/>
          <w:b/>
        </w:rPr>
        <w:t xml:space="preserve">Diagnostic Accuracy:</w:t>
      </w:r>
      <w:r>
        <w:t xml:space="preserve"> </w:t>
      </w:r>
      <w:r>
        <w:t xml:space="preserve">Assessment of refraction, ocular health assessments, and detection of systemic diseases.</w:t>
      </w:r>
    </w:p>
    <w:p>
      <w:pPr>
        <w:numPr>
          <w:ilvl w:val="0"/>
          <w:numId w:val="1001"/>
        </w:numPr>
        <w:pStyle w:val="Compact"/>
      </w:pPr>
      <w:r>
        <w:rPr>
          <w:bCs/>
          <w:b/>
        </w:rPr>
        <w:t xml:space="preserve">Referral Pathways:</w:t>
      </w:r>
      <w:r>
        <w:t xml:space="preserve"> </w:t>
      </w:r>
      <w:r>
        <w:t xml:space="preserve">Evaluation of the Optometrist's ability to identify urgent cases requiring referral to ophthalmologists in Melbourne hospitals.</w:t>
      </w:r>
    </w:p>
    <w:p>
      <w:pPr>
        <w:numPr>
          <w:ilvl w:val="0"/>
          <w:numId w:val="1001"/>
        </w:numPr>
        <w:pStyle w:val="Compact"/>
      </w:pPr>
      <w:r>
        <w:rPr>
          <w:bCs/>
          <w:b/>
        </w:rPr>
        <w:t xml:space="preserve">Equipment Calibration:</w:t>
      </w:r>
      <w:r>
        <w:t xml:space="preserve"> </w:t>
      </w:r>
      <w:r>
        <w:t xml:space="preserve">Ensuring all diagnostic tools meet the safety and accuracy standards required in Australia.</w:t>
      </w:r>
    </w:p>
    <w:bookmarkEnd w:id="21"/>
    <w:bookmarkStart w:id="22" w:name="clinical-competence-and-patient-care"/>
    <w:p>
      <w:pPr>
        <w:pStyle w:val="Heading2"/>
      </w:pPr>
      <w:r>
        <w:t xml:space="preserve">3. Clinical Competence and Patient Care</w:t>
      </w:r>
    </w:p>
    <w:p>
      <w:pPr>
        <w:pStyle w:val="FirstParagraph"/>
      </w:pPr>
      <w:r>
        <w:t xml:space="preserve">The Optometrist demonstrated a high level of clinical proficiency during the review period. In the context of Melbourne's diverse population, the practitioner showed cultural competence and effective communication skills. The review of 50 random patient files indicated that the Optometrist consistently performed thorough ocular health examinations, including slit-lamp biomicroscopy and direct/indirect ophthalmoscopy.</w:t>
      </w:r>
    </w:p>
    <w:p>
      <w:pPr>
        <w:pStyle w:val="BodyText"/>
      </w:pPr>
      <w:r>
        <w:t xml:space="preserve">A critical aspect of this review was the assessment of glaucoma screening and management. Given the prevalence of glaucoma in the Australian demographic, the Optometrist's protocol for measuring intraocular pressure and analyzing visual fields was found to be rigorous and aligned with current clinical guidelines. Furthermore, the management of dry eye disease, a common condition in Melbourne's variable climate, was handled with evidence-based treatment plans, including the appropriate prescription of therapeutic contact lenses where necessary.</w:t>
      </w:r>
    </w:p>
    <w:bookmarkEnd w:id="22"/>
    <w:bookmarkStart w:id="23" w:name="X468538f212a8ad84fd5e006cb84242641443113"/>
    <w:p>
      <w:pPr>
        <w:pStyle w:val="Heading2"/>
      </w:pPr>
      <w:r>
        <w:t xml:space="preserve">4. Compliance with Australian Regulatory Standards</w:t>
      </w:r>
    </w:p>
    <w:p>
      <w:pPr>
        <w:pStyle w:val="FirstParagraph"/>
      </w:pPr>
      <w:r>
        <w:t xml:space="preserve">Adherence to the Code of Conduct for Optometrists is non-negotiable in Australia. This review confirms that the Optometrist operates within the legal boundaries defined by the Health Practitioner Regulation National Law (Victoria). Key compliance areas include:</w:t>
      </w:r>
    </w:p>
    <w:p>
      <w:pPr>
        <w:numPr>
          <w:ilvl w:val="0"/>
          <w:numId w:val="1002"/>
        </w:numPr>
        <w:pStyle w:val="Compact"/>
      </w:pPr>
      <w:r>
        <w:rPr>
          <w:bCs/>
          <w:b/>
        </w:rPr>
        <w:t xml:space="preserve">Prescription Management:</w:t>
      </w:r>
      <w:r>
        <w:t xml:space="preserve"> </w:t>
      </w:r>
      <w:r>
        <w:t xml:space="preserve">All prescriptions for optical aids and therapeutic medications were issued correctly, with clear instructions and valid expiry dates, ensuring patient safety.</w:t>
      </w:r>
    </w:p>
    <w:p>
      <w:pPr>
        <w:numPr>
          <w:ilvl w:val="0"/>
          <w:numId w:val="1002"/>
        </w:numPr>
        <w:pStyle w:val="Compact"/>
      </w:pPr>
      <w:r>
        <w:rPr>
          <w:bCs/>
          <w:b/>
        </w:rPr>
        <w:t xml:space="preserve">Informed Consent:</w:t>
      </w:r>
      <w:r>
        <w:t xml:space="preserve"> </w:t>
      </w:r>
      <w:r>
        <w:t xml:space="preserve">Documentation showed that informed consent was obtained for all invasive procedures and specialized testing, respecting patient autonomy.</w:t>
      </w:r>
    </w:p>
    <w:p>
      <w:pPr>
        <w:numPr>
          <w:ilvl w:val="0"/>
          <w:numId w:val="1002"/>
        </w:numPr>
        <w:pStyle w:val="Compact"/>
      </w:pPr>
      <w:r>
        <w:rPr>
          <w:bCs/>
          <w:b/>
        </w:rPr>
        <w:t xml:space="preserve">Continuing Professional Development (CPD):</w:t>
      </w:r>
      <w:r>
        <w:t xml:space="preserve"> </w:t>
      </w:r>
      <w:r>
        <w:t xml:space="preserve">The Optometrist has successfully completed the required CPD points, including activities relevant to the latest advancements in optometric care in Australia.</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of the Optometrist is commendable, the peer review process aims to foster continuous improvement. The following recommendations are made to further enhance the quality of care provided in this Melbourne practice:</w:t>
      </w:r>
    </w:p>
    <w:p>
      <w:pPr>
        <w:numPr>
          <w:ilvl w:val="0"/>
          <w:numId w:val="1003"/>
        </w:numPr>
        <w:pStyle w:val="Compact"/>
      </w:pPr>
      <w:r>
        <w:rPr>
          <w:bCs/>
          <w:b/>
        </w:rPr>
        <w:t xml:space="preserve">Digital Integration:</w:t>
      </w:r>
      <w:r>
        <w:t xml:space="preserve"> </w:t>
      </w:r>
      <w:r>
        <w:t xml:space="preserve">It is recommended that the practice further integrate digital health records to facilitate seamless data sharing with other healthcare providers in the Melbourne health network, improving holistic patient care.</w:t>
      </w:r>
    </w:p>
    <w:p>
      <w:pPr>
        <w:numPr>
          <w:ilvl w:val="0"/>
          <w:numId w:val="1003"/>
        </w:numPr>
        <w:pStyle w:val="Compact"/>
      </w:pPr>
      <w:r>
        <w:rPr>
          <w:bCs/>
          <w:b/>
        </w:rPr>
        <w:t xml:space="preserve">Low Vision Services:</w:t>
      </w:r>
      <w:r>
        <w:t xml:space="preserve"> </w:t>
      </w:r>
      <w:r>
        <w:t xml:space="preserve">Given the aging population in Australia, expanding low vision rehabilitation services would be beneficial. The Optometrist is encouraged to undertake additional training in this specialized area.</w:t>
      </w:r>
    </w:p>
    <w:p>
      <w:pPr>
        <w:numPr>
          <w:ilvl w:val="0"/>
          <w:numId w:val="1003"/>
        </w:numPr>
        <w:pStyle w:val="Compact"/>
      </w:pPr>
      <w:r>
        <w:rPr>
          <w:bCs/>
          <w:b/>
        </w:rPr>
        <w:t xml:space="preserve">Documentation Detail:</w:t>
      </w:r>
      <w:r>
        <w:t xml:space="preserve"> </w:t>
      </w:r>
      <w:r>
        <w:t xml:space="preserve">While clinical notes are generally accurate, adding more detailed rationale for specific management decisions in complex cases would strengthen the medical record and provide better continuity of care.</w:t>
      </w:r>
    </w:p>
    <w:bookmarkEnd w:id="24"/>
    <w:bookmarkStart w:id="25" w:name="conclusion"/>
    <w:p>
      <w:pPr>
        <w:pStyle w:val="Heading2"/>
      </w:pPr>
      <w:r>
        <w:t xml:space="preserve">6. Conclusion</w:t>
      </w:r>
    </w:p>
    <w:p>
      <w:pPr>
        <w:pStyle w:val="FirstParagraph"/>
      </w:pPr>
      <w:r>
        <w:t xml:space="preserve">In conclusion, this Peer Review Report affirms that the Optometrist under review meets and, in several areas, exceeds the professional standards required by the Optometry Board of Australia. The practitioner demonstrates a strong commitment to ethical practice, clinical excellence, and patient-centered care within the Melbourne community. The recommendations provided are intended to support the Optometrist in maintaining this high standard of practice and adapting to the evolving healthcare landscape in Australia.</w:t>
      </w:r>
    </w:p>
    <w:p>
      <w:pPr>
        <w:pStyle w:val="BodyText"/>
      </w:pPr>
      <w:r>
        <w:t xml:space="preserve">This report serves as a formal record of the peer review process and will be submitted to the relevant regulatory bodies as part of the mandatory registration renewal requirements.</w:t>
      </w:r>
    </w:p>
    <w:bookmarkEnd w:id="25"/>
    <w:p>
      <w:pPr>
        <w:pStyle w:val="BodyText"/>
      </w:pPr>
      <w:r>
        <w:rPr>
          <w:bCs/>
          <w:b/>
        </w:rPr>
        <w:t xml:space="preserve">Reviewed By:</w:t>
      </w:r>
      <w:r>
        <w:br/>
      </w:r>
      <w:r>
        <w:t xml:space="preserve">Dr. Sarah Jenkins, FBOptom</w:t>
      </w:r>
      <w:r>
        <w:br/>
      </w:r>
      <w:r>
        <w:t xml:space="preserve">Senior Peer Reviewer</w:t>
      </w:r>
      <w:r>
        <w:br/>
      </w:r>
      <w:r>
        <w:t xml:space="preserve">Melbourne Optometry Association</w:t>
      </w:r>
    </w:p>
    <w:p>
      <w:pPr>
        <w:pStyle w:val="BodyText"/>
      </w:pPr>
      <w:r>
        <w:rPr>
          <w:bCs/>
          <w:b/>
        </w:rPr>
        <w:t xml:space="preserve">Optometrist Acknowledgement:</w:t>
      </w:r>
      <w:r>
        <w:br/>
      </w:r>
    </w:p>
    <w:p>
      <w:pPr>
        <w:pStyle w:val="BodyText"/>
      </w:pPr>
      <w:r>
        <w:br/>
      </w:r>
      <w:r>
        <w:t xml:space="preserve">Signature and Date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 Melbourne, Australia</dc:title>
  <dc:creator/>
  <dc:language>en</dc:language>
  <cp:keywords/>
  <dcterms:created xsi:type="dcterms:W3CDTF">2026-10-10T03:49:42Z</dcterms:created>
  <dcterms:modified xsi:type="dcterms:W3CDTF">2026-10-10T03:49:42Z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