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an Optometrist</w:t>
      </w:r>
    </w:p>
    <w:p>
      <w:pPr>
        <w:pStyle w:val="BodyText"/>
      </w:pPr>
      <w:r>
        <w:rPr>
          <w:bCs/>
          <w:b/>
        </w:rPr>
        <w:t xml:space="preserve">Location:</w:t>
      </w:r>
      <w:r>
        <w:t xml:space="preserve"> </w:t>
      </w:r>
      <w:r>
        <w:t xml:space="preserve">Munich, Germany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Optical and Vision Care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operational procedures, and professional conduct of a practicing Optometrist located in Munich, Germany. The review aims to ensure that the practitioner adheres to the rigorous standards expected within the German healthcare system, specifically aligning with the regulations set forth by the Bavarian Chamber of Opticians and the broader European guidelines for vision care. The assessment covers patient safety, diagnostic accuracy, ethical compliance, and the integration of modern optometric technology within the Munich metropolitan area.</w:t>
      </w:r>
    </w:p>
    <w:bookmarkEnd w:id="21"/>
    <w:bookmarkStart w:id="22" w:name="introduction-and-scope"/>
    <w:p>
      <w:pPr>
        <w:pStyle w:val="Heading2"/>
      </w:pPr>
      <w:r>
        <w:t xml:space="preserve">2. Introduction and Scope</w:t>
      </w:r>
    </w:p>
    <w:p>
      <w:pPr>
        <w:pStyle w:val="FirstParagraph"/>
      </w:pPr>
      <w:r>
        <w:t xml:space="preserve">The role of an Optometrist in Germany is distinct and highly regulated. Unlike in some other jurisdictions, the scope of practice in Germany involves a close collaboration between optometrists, ophthalmologists, and general practitioners. This review focuses on a specific practice in Munich, a city known for its high standards in medical and technological innovation. The scope of this Peer Review Report includes an analysis of the Optometrist’s adherence to the German Social Code (SGB V), patient data protection under GDPR, and the clinical quality of vision assessments provided to the local population.</w:t>
      </w:r>
    </w:p>
    <w:p>
      <w:pPr>
        <w:pStyle w:val="BodyText"/>
      </w:pPr>
      <w:r>
        <w:t xml:space="preserve">The review process involved a comprehensive site visit, a random audit of patient records, interviews with staff, and a review of equipment calibration logs. The objective is to provide a transparent evaluation that supports continuous improvement and maintains public trust in vision care services in Munich.</w:t>
      </w:r>
    </w:p>
    <w:bookmarkEnd w:id="22"/>
    <w:bookmarkStart w:id="23" w:name="X4a5ef5890aff466c529fceb004240c8b12bbdbf"/>
    <w:p>
      <w:pPr>
        <w:pStyle w:val="Heading2"/>
      </w:pPr>
      <w:r>
        <w:t xml:space="preserve">3. Clinical Competence and Diagnostic Standards</w:t>
      </w:r>
    </w:p>
    <w:p>
      <w:pPr>
        <w:pStyle w:val="FirstParagraph"/>
      </w:pPr>
      <w:r>
        <w:t xml:space="preserve">A primary focus of this Peer Review Report is the clinical competence of the Optometrist. The practitioner demonstrated a thorough understanding of refractive errors, binocular vision disorders, and ocular health screening. In the context of Germany Munich, where the population includes a significant number of digital workers, the Optometrist showed particular proficiency in diagnosing and managing digital eye strain and presbyopia.</w:t>
      </w:r>
    </w:p>
    <w:p>
      <w:pPr>
        <w:pStyle w:val="BodyText"/>
      </w:pPr>
      <w:r>
        <w:t xml:space="preserve">The diagnostic protocols observed align with the standards recommended by the German Ophthalmological Society. The Optometrist correctly utilized advanced diagnostic tools, including OCT (Optical Coherence Tomography) and non-mydriatic fundus cameras, to screen for early signs of glaucoma and diabetic retinopathy. It is crucial to note that while the Optometrist performs these screenings, the referral pathways to ophthalmologists for medical treatment were clearly defined and followed, respecting the legal boundaries of practice in Germany.</w:t>
      </w:r>
    </w:p>
    <w:bookmarkEnd w:id="23"/>
    <w:bookmarkStart w:id="24" w:name="X4bc4b1c7ef29040b8a00b7c589cb9a284653636"/>
    <w:p>
      <w:pPr>
        <w:pStyle w:val="Heading2"/>
      </w:pPr>
      <w:r>
        <w:t xml:space="preserve">4. Regulatory Compliance and Legal Framework</w:t>
      </w:r>
    </w:p>
    <w:p>
      <w:pPr>
        <w:pStyle w:val="FirstParagraph"/>
      </w:pPr>
      <w:r>
        <w:t xml:space="preserve">Operating in Munich requires strict adherence to both federal and state regulations. This Peer Review Report confirms that the Optometrist’s practice is fully compliant with the German Medical Devices Act (MPG) regarding the maintenance and calibration of optical equipment. Furthermore, the practice adheres to the regulations concerning the prescription and dispensing of corrective lenses.</w:t>
      </w:r>
    </w:p>
    <w:p>
      <w:pPr>
        <w:pStyle w:val="BodyText"/>
      </w:pPr>
      <w:r>
        <w:t xml:space="preserve">A critical aspect of the review was the examination of patient records. The Optometrist maintains detailed documentation in accordance with German medical record-keeping laws. Patient confidentiality is strictly upheld, with robust digital security measures in place to protect sensitive health data, a requirement that is particularly stringent in Germany. The practice also complies with the pricing regulations set by the Association of Statutory Health Insurance Physicians (KBV) where applicable, ensuring transparency for patients.</w:t>
      </w:r>
    </w:p>
    <w:bookmarkEnd w:id="24"/>
    <w:bookmarkStart w:id="25" w:name="patient-care-and-professional-ethics"/>
    <w:p>
      <w:pPr>
        <w:pStyle w:val="Heading2"/>
      </w:pPr>
      <w:r>
        <w:t xml:space="preserve">5. Patient Care and Professional Ethics</w:t>
      </w:r>
    </w:p>
    <w:p>
      <w:pPr>
        <w:pStyle w:val="FirstParagraph"/>
      </w:pPr>
      <w:r>
        <w:t xml:space="preserve">The quality of patient care is a cornerstone of this Peer Review Report. The Optometrist in Munich was observed to provide empathetic, patient-centered care. The consultation process allows sufficient time for patients to discuss their visual needs, which is essential in a multicultural city like Munich where patients may have varying levels of health literacy and language proficiency.</w:t>
      </w:r>
    </w:p>
    <w:p>
      <w:pPr>
        <w:pStyle w:val="BodyText"/>
      </w:pPr>
      <w:r>
        <w:t xml:space="preserve">Ethical conduct was evaluated based on the absence of conflicts of interest. The Optometrist provides unbiased advice regarding corrective lenses and contact lenses, ensuring that recommendations are based solely on clinical necessity rather than commercial gain. This integrity is vital for maintaining the professional reputation of optometry in Germany.</w:t>
      </w:r>
    </w:p>
    <w:bookmarkEnd w:id="25"/>
    <w:bookmarkStart w:id="26" w:name="facility-and-equipment-standards"/>
    <w:p>
      <w:pPr>
        <w:pStyle w:val="Heading2"/>
      </w:pPr>
      <w:r>
        <w:t xml:space="preserve">6. Facility and Equipment Standards</w:t>
      </w:r>
    </w:p>
    <w:p>
      <w:pPr>
        <w:pStyle w:val="FirstParagraph"/>
      </w:pPr>
      <w:r>
        <w:t xml:space="preserve">The physical environment of the practice in Munich meets the high standards expected in the region. The facility is clean, accessible, and equipped with state-of-the-art technology. The Peer Review Report notes that all diagnostic instruments are regularly serviced and calibrated by certified technicians, ensuring the accuracy of the measurements taken by the Optometrist. This commitment to technological excellence supports the high level of care provided to the Munich community.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practice of the Optometrist in Germany Munich:</w:t>
      </w:r>
    </w:p>
    <w:p>
      <w:pPr>
        <w:numPr>
          <w:ilvl w:val="0"/>
          <w:numId w:val="1001"/>
        </w:numPr>
        <w:pStyle w:val="Compact"/>
      </w:pPr>
      <w:r>
        <w:t xml:space="preserve">Continue to engage in ongoing professional development to stay updated with the latest advancements in optometric care and German healthcare regulations.</w:t>
      </w:r>
    </w:p>
    <w:p>
      <w:pPr>
        <w:numPr>
          <w:ilvl w:val="0"/>
          <w:numId w:val="1001"/>
        </w:numPr>
        <w:pStyle w:val="Compact"/>
      </w:pPr>
      <w:r>
        <w:t xml:space="preserve">Enhance multilingual support materials to better serve the diverse population of Munich.</w:t>
      </w:r>
    </w:p>
    <w:p>
      <w:pPr>
        <w:numPr>
          <w:ilvl w:val="0"/>
          <w:numId w:val="1001"/>
        </w:numPr>
        <w:pStyle w:val="Compact"/>
      </w:pPr>
      <w:r>
        <w:t xml:space="preserve">Strengthen the digital interface for patient referrals to ophthalmologists to streamline the care pathway.</w:t>
      </w:r>
    </w:p>
    <w:bookmarkEnd w:id="27"/>
    <w:bookmarkStart w:id="28" w:name="conclusion"/>
    <w:p>
      <w:pPr>
        <w:pStyle w:val="Heading2"/>
      </w:pPr>
      <w:r>
        <w:t xml:space="preserve">8. Conclusion</w:t>
      </w:r>
    </w:p>
    <w:p>
      <w:pPr>
        <w:pStyle w:val="FirstParagraph"/>
      </w:pPr>
      <w:r>
        <w:t xml:space="preserve">In conclusion, this Peer Review Report affirms that the Optometrist under review maintains a high standard of professional practice in Munich, Germany. The practitioner demonstrates clinical competence, regulatory compliance, and a strong commitment to patient care. The practice serves as a positive example of the optometric profession in Germany, contributing effectively to the visual health of the community. It is recommended that the practice continues its current trajectory while implementing the minor suggestions outlined above.</w:t>
      </w:r>
    </w:p>
    <w:bookmarkEnd w:id="28"/>
    <w:p>
      <w:pPr>
        <w:pStyle w:val="BodyText"/>
      </w:pPr>
      <w:r>
        <w:rPr>
          <w:bCs/>
          <w:b/>
        </w:rPr>
        <w:t xml:space="preserve">Report Prepared By:</w:t>
      </w:r>
    </w:p>
    <w:p>
      <w:pPr>
        <w:pStyle w:val="BodyText"/>
      </w:pPr>
      <w:r>
        <w:t xml:space="preserve">Dr. Hans Mueller, Lead Reviewer</w:t>
      </w:r>
    </w:p>
    <w:p>
      <w:pPr>
        <w:pStyle w:val="BodyText"/>
      </w:pPr>
      <w:r>
        <w:t xml:space="preserve">Independent Optical and Vision Care Standards Committee</w:t>
      </w:r>
    </w:p>
    <w:p>
      <w:pPr>
        <w:pStyle w:val="BodyText"/>
      </w:pPr>
      <w:r>
        <w:t xml:space="preserve">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Munich, Germany</dc:title>
  <dc:creator/>
  <dc:language>en</dc:language>
  <cp:keywords/>
  <dcterms:created xsi:type="dcterms:W3CDTF">2026-10-10T06:29:39Z</dcterms:created>
  <dcterms:modified xsi:type="dcterms:W3CDTF">2026-10-10T06:29:39Z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