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t xml:space="preserve">Evaluation of Clinical Competence and Operational Standards</w:t>
      </w:r>
    </w:p>
    <w:p>
      <w:pPr>
        <w:pStyle w:val="BodyText"/>
      </w:pPr>
      <w:r>
        <w:rPr>
          <w:bCs/>
          <w:b/>
        </w:rPr>
        <w:t xml:space="preserve">Subject:</w:t>
      </w:r>
      <w:r>
        <w:t xml:space="preserve"> </w:t>
      </w:r>
      <w:r>
        <w:t xml:space="preserve">Licensed Optometrist</w:t>
      </w:r>
      <w:r>
        <w:br/>
      </w:r>
      <w:r>
        <w:rPr>
          <w:bCs/>
          <w:b/>
        </w:rPr>
        <w:t xml:space="preserve">Location:</w:t>
      </w:r>
      <w:r>
        <w:t xml:space="preserve"> </w:t>
      </w:r>
      <w:r>
        <w:t xml:space="preserve">Japan Tokyo</w:t>
      </w:r>
      <w:r>
        <w:br/>
      </w:r>
      <w:r>
        <w:rPr>
          <w:bCs/>
          <w:b/>
        </w:rPr>
        <w:t xml:space="preserve">Date of Review:</w:t>
      </w:r>
      <w:r>
        <w:t xml:space="preserve"> </w:t>
      </w:r>
      <w:r>
        <w:t xml:space="preserve">October 24, 2023</w:t>
      </w:r>
    </w:p>
    <w:p>
      <w:pPr>
        <w:pStyle w:val="BodyText"/>
      </w:pPr>
      <w:r>
        <w:rPr>
          <w:bCs/>
          <w:b/>
        </w:rPr>
        <w:t xml:space="preserve">Review Board:</w:t>
      </w:r>
      <w:r>
        <w:t xml:space="preserve"> </w:t>
      </w:r>
      <w:r>
        <w:t xml:space="preserve">Tokyo Metropolitan Optometric Association</w:t>
      </w:r>
      <w:r>
        <w:br/>
      </w:r>
      <w:r>
        <w:rPr>
          <w:bCs/>
          <w:b/>
        </w:rPr>
        <w:t xml:space="preserve">Report ID:</w:t>
      </w:r>
      <w:r>
        <w:t xml:space="preserve"> </w:t>
      </w:r>
      <w:r>
        <w:t xml:space="preserve">TR-2023-OTK-892</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documents the comprehensive evaluation of a practicing</w:t>
      </w:r>
      <w:r>
        <w:t xml:space="preserve"> </w:t>
      </w:r>
      <w:r>
        <w:rPr>
          <w:bCs/>
          <w:b/>
        </w:rPr>
        <w:t xml:space="preserve">Optometrist</w:t>
      </w:r>
      <w:r>
        <w:t xml:space="preserve"> </w:t>
      </w:r>
      <w:r>
        <w:t xml:space="preserve">operating within the metropolitan area of</w:t>
      </w:r>
      <w:r>
        <w:t xml:space="preserve"> </w:t>
      </w:r>
      <w:r>
        <w:rPr>
          <w:bCs/>
          <w:b/>
        </w:rPr>
        <w:t xml:space="preserve">Japan Tokyo</w:t>
      </w:r>
      <w:r>
        <w:t xml:space="preserve">. The purpose of this review is to ensure adherence to the national standards set by the Ministry of Health, Labour and Welfare (MHLW) and the specific clinical guidelines established by the Tokyo Metropolitan Government. The review assesses clinical proficiency, patient safety protocols, equipment calibration, and ethical conduct.</w:t>
      </w:r>
    </w:p>
    <w:p>
      <w:pPr>
        <w:pStyle w:val="BodyText"/>
      </w:pPr>
      <w:r>
        <w:t xml:space="preserve">The findings indicate a high level of professional competence. The</w:t>
      </w:r>
      <w:r>
        <w:t xml:space="preserve"> </w:t>
      </w:r>
      <w:r>
        <w:rPr>
          <w:bCs/>
          <w:b/>
        </w:rPr>
        <w:t xml:space="preserve">Optometrist</w:t>
      </w:r>
      <w:r>
        <w:t xml:space="preserve"> </w:t>
      </w:r>
      <w:r>
        <w:t xml:space="preserve">demonstrates a thorough understanding of refractive error management, ocular health screening, and the specific regulatory requirements unique to the Japanese healthcare system. The practice in</w:t>
      </w:r>
      <w:r>
        <w:t xml:space="preserve"> </w:t>
      </w:r>
      <w:r>
        <w:rPr>
          <w:bCs/>
          <w:b/>
        </w:rPr>
        <w:t xml:space="preserve">Japan Tokyo</w:t>
      </w:r>
      <w:r>
        <w:t xml:space="preserve"> </w:t>
      </w:r>
      <w:r>
        <w:t xml:space="preserve">is well-integrated with local medical networks, facilitating effective referrals to ophthalmologists when pathological conditions are detected.</w:t>
      </w:r>
    </w:p>
    <w:bookmarkEnd w:id="21"/>
    <w:bookmarkStart w:id="22" w:name="regulatory-compliance-and-licensing"/>
    <w:p>
      <w:pPr>
        <w:pStyle w:val="Heading2"/>
      </w:pPr>
      <w:r>
        <w:t xml:space="preserve">2. Regulatory Compliance and Licensing</w:t>
      </w:r>
    </w:p>
    <w:p>
      <w:pPr>
        <w:pStyle w:val="FirstParagraph"/>
      </w:pPr>
      <w:r>
        <w:t xml:space="preserve">In</w:t>
      </w:r>
      <w:r>
        <w:t xml:space="preserve"> </w:t>
      </w:r>
      <w:r>
        <w:rPr>
          <w:bCs/>
          <w:b/>
        </w:rPr>
        <w:t xml:space="preserve">Japan Tokyo</w:t>
      </w:r>
      <w:r>
        <w:t xml:space="preserve">, the scope of practice for an</w:t>
      </w:r>
      <w:r>
        <w:t xml:space="preserve"> </w:t>
      </w:r>
      <w:r>
        <w:rPr>
          <w:bCs/>
          <w:b/>
        </w:rPr>
        <w:t xml:space="preserve">Optometrist</w:t>
      </w:r>
      <w:r>
        <w:t xml:space="preserve"> </w:t>
      </w:r>
      <w:r>
        <w:t xml:space="preserve">is strictly defined. Unlike some Western jurisdictions, Japanese optometrists are legally prohibited from prescribing pharmaceutical drugs or performing surgical procedures. This</w:t>
      </w:r>
      <w:r>
        <w:t xml:space="preserve"> </w:t>
      </w:r>
      <w:r>
        <w:rPr>
          <w:bCs/>
          <w:b/>
        </w:rPr>
        <w:t xml:space="preserve">Peer Review Report</w:t>
      </w:r>
      <w:r>
        <w:t xml:space="preserve"> </w:t>
      </w:r>
      <w:r>
        <w:t xml:space="preserve">confirms that the subject strictly adheres to these legal boundaries.</w:t>
      </w:r>
    </w:p>
    <w:p>
      <w:pPr>
        <w:numPr>
          <w:ilvl w:val="0"/>
          <w:numId w:val="1001"/>
        </w:numPr>
        <w:pStyle w:val="Compact"/>
      </w:pPr>
      <w:r>
        <w:rPr>
          <w:bCs/>
          <w:b/>
        </w:rPr>
        <w:t xml:space="preserve">Licensure Status:</w:t>
      </w:r>
      <w:r>
        <w:t xml:space="preserve"> </w:t>
      </w:r>
      <w:r>
        <w:t xml:space="preserve">The practitioner holds a valid license issued by the Tokyo Metropolitan Government Board of Examiners.</w:t>
      </w:r>
    </w:p>
    <w:p>
      <w:pPr>
        <w:numPr>
          <w:ilvl w:val="0"/>
          <w:numId w:val="1001"/>
        </w:numPr>
        <w:pStyle w:val="Compact"/>
      </w:pPr>
      <w:r>
        <w:rPr>
          <w:bCs/>
          <w:b/>
        </w:rPr>
        <w:t xml:space="preserve">Scope of Practice:</w:t>
      </w:r>
      <w:r>
        <w:t xml:space="preserve"> </w:t>
      </w:r>
      <w:r>
        <w:t xml:space="preserve">Services are limited to refraction, contact lens fitting, low vision rehabilitation, and ocular health screening.</w:t>
      </w:r>
    </w:p>
    <w:p>
      <w:pPr>
        <w:numPr>
          <w:ilvl w:val="0"/>
          <w:numId w:val="1001"/>
        </w:numPr>
        <w:pStyle w:val="Compact"/>
      </w:pPr>
      <w:r>
        <w:rPr>
          <w:bCs/>
          <w:b/>
        </w:rPr>
        <w:t xml:space="preserve">Continuing Education:</w:t>
      </w:r>
      <w:r>
        <w:t xml:space="preserve"> </w:t>
      </w:r>
      <w:r>
        <w:t xml:space="preserve">The</w:t>
      </w:r>
      <w:r>
        <w:t xml:space="preserve"> </w:t>
      </w:r>
      <w:r>
        <w:rPr>
          <w:bCs/>
          <w:b/>
        </w:rPr>
        <w:t xml:space="preserve">Optometrist</w:t>
      </w:r>
      <w:r>
        <w:t xml:space="preserve"> </w:t>
      </w:r>
      <w:r>
        <w:t xml:space="preserve">has completed the mandatory continuing education credits required by the Japan Optometric Association (JOA) for the current fiscal year.</w:t>
      </w:r>
    </w:p>
    <w:bookmarkEnd w:id="22"/>
    <w:bookmarkStart w:id="26" w:name="clinical-competence-and-patient-care"/>
    <w:p>
      <w:pPr>
        <w:pStyle w:val="Heading2"/>
      </w:pPr>
      <w:r>
        <w:t xml:space="preserve">3. Clinical Competence and Patient Care</w:t>
      </w:r>
    </w:p>
    <w:p>
      <w:pPr>
        <w:pStyle w:val="FirstParagraph"/>
      </w:pPr>
      <w:r>
        <w:t xml:space="preserve">The core of this</w:t>
      </w:r>
      <w:r>
        <w:t xml:space="preserve"> </w:t>
      </w:r>
      <w:r>
        <w:rPr>
          <w:bCs/>
          <w:b/>
        </w:rPr>
        <w:t xml:space="preserve">Peer Review Report</w:t>
      </w:r>
      <w:r>
        <w:t xml:space="preserve"> </w:t>
      </w:r>
      <w:r>
        <w:t xml:space="preserve">focuses on the clinical skills exhibited during patient interactions. The review panel observed a series of consultations involving diverse patient demographics typical of the</w:t>
      </w:r>
      <w:r>
        <w:t xml:space="preserve"> </w:t>
      </w:r>
      <w:r>
        <w:rPr>
          <w:bCs/>
          <w:b/>
        </w:rPr>
        <w:t xml:space="preserve">Japan Tokyo</w:t>
      </w:r>
      <w:r>
        <w:t xml:space="preserve"> </w:t>
      </w:r>
      <w:r>
        <w:t xml:space="preserve">population, including pediatric patients, adults with digital eye strain, and elderly patients with presbyopia.</w:t>
      </w:r>
    </w:p>
    <w:bookmarkStart w:id="23" w:name="refractive-assessment"/>
    <w:p>
      <w:pPr>
        <w:pStyle w:val="Heading3"/>
      </w:pPr>
      <w:r>
        <w:t xml:space="preserve">3.1 Refractive Assessment</w:t>
      </w:r>
    </w:p>
    <w:p>
      <w:pPr>
        <w:pStyle w:val="FirstParagraph"/>
      </w:pPr>
      <w:r>
        <w:t xml:space="preserve">The</w:t>
      </w:r>
      <w:r>
        <w:t xml:space="preserve"> </w:t>
      </w:r>
      <w:r>
        <w:rPr>
          <w:bCs/>
          <w:b/>
        </w:rPr>
        <w:t xml:space="preserve">Optometrist</w:t>
      </w:r>
      <w:r>
        <w:t xml:space="preserve"> </w:t>
      </w:r>
      <w:r>
        <w:t xml:space="preserve">demonstrated exceptional precision in subjective and objective refraction. The use of automated refractometers was followed by meticulous manual verification, ensuring accurate prescriptions. Given the high prevalence of myopia in the Japanese population, the practitioner showed particular diligence in managing myopia progression in pediatric patients, offering evidence-based interventions such as orthokeratology and specialized contact lenses.</w:t>
      </w:r>
    </w:p>
    <w:bookmarkEnd w:id="23"/>
    <w:bookmarkStart w:id="24" w:name="contact-lens-fitting"/>
    <w:p>
      <w:pPr>
        <w:pStyle w:val="Heading3"/>
      </w:pPr>
      <w:r>
        <w:t xml:space="preserve">3.2 Contact Lens Fitting</w:t>
      </w:r>
    </w:p>
    <w:p>
      <w:pPr>
        <w:pStyle w:val="FirstParagraph"/>
      </w:pPr>
      <w:r>
        <w:t xml:space="preserve">Contact lens fitting is a significant component of optometric practice in</w:t>
      </w:r>
      <w:r>
        <w:t xml:space="preserve"> </w:t>
      </w:r>
      <w:r>
        <w:rPr>
          <w:bCs/>
          <w:b/>
        </w:rPr>
        <w:t xml:space="preserve">Japan Tokyo</w:t>
      </w:r>
      <w:r>
        <w:t xml:space="preserve">. The review found that the</w:t>
      </w:r>
      <w:r>
        <w:t xml:space="preserve"> </w:t>
      </w:r>
      <w:r>
        <w:rPr>
          <w:bCs/>
          <w:b/>
        </w:rPr>
        <w:t xml:space="preserve">Optometrist</w:t>
      </w:r>
      <w:r>
        <w:t xml:space="preserve"> </w:t>
      </w:r>
      <w:r>
        <w:t xml:space="preserve">adheres to strict hygiene protocols. The evaluation of corneal health prior to fitting, as well as the follow-up examinations to monitor ocular surface health, were conducted in accordance with international best practices and local regulations. The practitioner effectively educated patients on lens care, reducing the risk of microbial keratitis.</w:t>
      </w:r>
    </w:p>
    <w:bookmarkEnd w:id="24"/>
    <w:bookmarkStart w:id="25" w:name="ocular-health-screening"/>
    <w:p>
      <w:pPr>
        <w:pStyle w:val="Heading3"/>
      </w:pPr>
      <w:r>
        <w:t xml:space="preserve">3.3 Ocular Health Screening</w:t>
      </w:r>
    </w:p>
    <w:p>
      <w:pPr>
        <w:pStyle w:val="FirstParagraph"/>
      </w:pPr>
      <w:r>
        <w:t xml:space="preserve">While Japanese optometrists cannot diagnose diseases, they play a critical role in screening. The</w:t>
      </w:r>
      <w:r>
        <w:t xml:space="preserve"> </w:t>
      </w:r>
      <w:r>
        <w:rPr>
          <w:bCs/>
          <w:b/>
        </w:rPr>
        <w:t xml:space="preserve">Optometrist</w:t>
      </w:r>
      <w:r>
        <w:t xml:space="preserve"> </w:t>
      </w:r>
      <w:r>
        <w:t xml:space="preserve">utilized slit-lamp biomicroscopy and direct ophthalmoscopy effectively. The review noted that the practitioner maintains a high index of suspicion for conditions such as glaucoma, cataracts, and diabetic retinopathy. When abnormalities were detected, the</w:t>
      </w:r>
      <w:r>
        <w:t xml:space="preserve"> </w:t>
      </w:r>
      <w:r>
        <w:rPr>
          <w:bCs/>
          <w:b/>
        </w:rPr>
        <w:t xml:space="preserve">Optometrist</w:t>
      </w:r>
      <w:r>
        <w:t xml:space="preserve"> </w:t>
      </w:r>
      <w:r>
        <w:t xml:space="preserve">promptly referred patients to affiliated ophthalmologists in Tokyo, ensuring continuity of care.</w:t>
      </w:r>
    </w:p>
    <w:bookmarkEnd w:id="25"/>
    <w:bookmarkEnd w:id="26"/>
    <w:bookmarkStart w:id="27" w:name="facility-standards-and-equipment"/>
    <w:p>
      <w:pPr>
        <w:pStyle w:val="Heading2"/>
      </w:pPr>
      <w:r>
        <w:t xml:space="preserve">4. Facility Standards and Equipment</w:t>
      </w:r>
    </w:p>
    <w:p>
      <w:pPr>
        <w:pStyle w:val="FirstParagraph"/>
      </w:pPr>
      <w:r>
        <w:t xml:space="preserve">The physical environment of the practice in</w:t>
      </w:r>
      <w:r>
        <w:t xml:space="preserve"> </w:t>
      </w:r>
      <w:r>
        <w:rPr>
          <w:bCs/>
          <w:b/>
        </w:rPr>
        <w:t xml:space="preserve">Japan Tokyo</w:t>
      </w:r>
      <w:r>
        <w:t xml:space="preserve"> </w:t>
      </w:r>
      <w:r>
        <w:t xml:space="preserve">was evaluated for safety, cleanliness, and functionality.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Observation</w:t>
            </w:r>
          </w:p>
        </w:tc>
        <w:tc>
          <w:tcPr/>
          <w:p>
            <w:pPr>
              <w:pStyle w:val="Compact"/>
              <w:jc w:val="left"/>
            </w:pPr>
            <w:r>
              <w:t xml:space="preserve">Status</w:t>
            </w:r>
          </w:p>
        </w:tc>
      </w:tr>
      <w:tr>
        <w:tc>
          <w:tcPr/>
          <w:p>
            <w:pPr>
              <w:pStyle w:val="Compact"/>
              <w:jc w:val="left"/>
            </w:pPr>
            <w:r>
              <w:t xml:space="preserve">Equipment Calibration</w:t>
            </w:r>
          </w:p>
        </w:tc>
        <w:tc>
          <w:tcPr/>
          <w:p>
            <w:pPr>
              <w:pStyle w:val="Compact"/>
              <w:jc w:val="left"/>
            </w:pPr>
            <w:r>
              <w:t xml:space="preserve">All diagnostic instruments, including autorefractors and tonometers, are up-to-date and regularly calibrated.</w:t>
            </w:r>
          </w:p>
        </w:tc>
        <w:tc>
          <w:tcPr/>
          <w:p>
            <w:pPr>
              <w:pStyle w:val="Compact"/>
              <w:jc w:val="left"/>
            </w:pPr>
            <w:r>
              <w:t xml:space="preserve">Compliant</w:t>
            </w:r>
          </w:p>
        </w:tc>
      </w:tr>
      <w:tr>
        <w:tc>
          <w:tcPr/>
          <w:p>
            <w:pPr>
              <w:pStyle w:val="Compact"/>
              <w:jc w:val="left"/>
            </w:pPr>
            <w:r>
              <w:t xml:space="preserve">Infection Control</w:t>
            </w:r>
          </w:p>
        </w:tc>
        <w:tc>
          <w:tcPr/>
          <w:p>
            <w:pPr>
              <w:pStyle w:val="Compact"/>
              <w:jc w:val="left"/>
            </w:pPr>
            <w:r>
              <w:t xml:space="preserve">Strict sterilization protocols are followed for all contact lens trial sets and slit-lamp accessories.</w:t>
            </w:r>
          </w:p>
        </w:tc>
        <w:tc>
          <w:tcPr/>
          <w:p>
            <w:pPr>
              <w:pStyle w:val="Compact"/>
              <w:jc w:val="left"/>
            </w:pPr>
            <w:r>
              <w:t xml:space="preserve">Compliant</w:t>
            </w:r>
          </w:p>
        </w:tc>
      </w:tr>
      <w:tr>
        <w:tc>
          <w:tcPr/>
          <w:p>
            <w:pPr>
              <w:pStyle w:val="Compact"/>
              <w:jc w:val="left"/>
            </w:pPr>
            <w:r>
              <w:t xml:space="preserve">Patient Privacy</w:t>
            </w:r>
          </w:p>
        </w:tc>
        <w:tc>
          <w:tcPr/>
          <w:p>
            <w:pPr>
              <w:pStyle w:val="Compact"/>
              <w:jc w:val="left"/>
            </w:pPr>
            <w:r>
              <w:t xml:space="preserve">Consultation rooms ensure acoustic and visual privacy, adhering to Japanese medical privacy laws.</w:t>
            </w:r>
          </w:p>
        </w:tc>
        <w:tc>
          <w:tcPr/>
          <w:p>
            <w:pPr>
              <w:pStyle w:val="Compact"/>
              <w:jc w:val="left"/>
            </w:pPr>
            <w:r>
              <w:t xml:space="preserve">Compliant</w:t>
            </w:r>
          </w:p>
        </w:tc>
      </w:tr>
      <w:tr>
        <w:tc>
          <w:tcPr/>
          <w:p>
            <w:pPr>
              <w:pStyle w:val="Compact"/>
              <w:jc w:val="left"/>
            </w:pPr>
            <w:r>
              <w:t xml:space="preserve">Accessibility</w:t>
            </w:r>
          </w:p>
        </w:tc>
        <w:tc>
          <w:tcPr/>
          <w:p>
            <w:pPr>
              <w:pStyle w:val="Compact"/>
              <w:jc w:val="left"/>
            </w:pPr>
            <w:r>
              <w:t xml:space="preserve">The facility is wheelchair accessible, meeting the standards for public health facilities in Tokyo.</w:t>
            </w:r>
          </w:p>
        </w:tc>
        <w:tc>
          <w:tcPr/>
          <w:p>
            <w:pPr>
              <w:pStyle w:val="Compact"/>
              <w:jc w:val="left"/>
            </w:pPr>
            <w:r>
              <w:t xml:space="preserve">Compliant</w:t>
            </w:r>
          </w:p>
        </w:tc>
      </w:tr>
    </w:tbl>
    <w:bookmarkEnd w:id="27"/>
    <w:bookmarkStart w:id="28" w:name="professional-ethics-and-communication"/>
    <w:p>
      <w:pPr>
        <w:pStyle w:val="Heading2"/>
      </w:pPr>
      <w:r>
        <w:t xml:space="preserve">5. Professional Ethics and Communication</w:t>
      </w:r>
    </w:p>
    <w:p>
      <w:pPr>
        <w:pStyle w:val="FirstParagraph"/>
      </w:pPr>
      <w:r>
        <w:t xml:space="preserve">The</w:t>
      </w:r>
      <w:r>
        <w:t xml:space="preserve"> </w:t>
      </w:r>
      <w:r>
        <w:rPr>
          <w:bCs/>
          <w:b/>
        </w:rPr>
        <w:t xml:space="preserve">Peer Review Report</w:t>
      </w:r>
      <w:r>
        <w:t xml:space="preserve"> </w:t>
      </w:r>
      <w:r>
        <w:t xml:space="preserve">highlights the importance of ethical conduct. The</w:t>
      </w:r>
      <w:r>
        <w:t xml:space="preserve"> </w:t>
      </w:r>
      <w:r>
        <w:rPr>
          <w:bCs/>
          <w:b/>
        </w:rPr>
        <w:t xml:space="preserve">Optometrist</w:t>
      </w:r>
      <w:r>
        <w:t xml:space="preserve"> </w:t>
      </w:r>
      <w:r>
        <w:t xml:space="preserve">demonstrated a patient-centered approach, respecting the cultural nuances of communication in</w:t>
      </w:r>
      <w:r>
        <w:t xml:space="preserve"> </w:t>
      </w:r>
      <w:r>
        <w:rPr>
          <w:bCs/>
          <w:b/>
        </w:rPr>
        <w:t xml:space="preserve">Japan Tokyo</w:t>
      </w:r>
      <w:r>
        <w:t xml:space="preserve">. The practitioner avoids unnecessary upselling of eyewear or contact lenses, focusing instead on the genuine visual needs of the patient.</w:t>
      </w:r>
    </w:p>
    <w:p>
      <w:pPr>
        <w:pStyle w:val="BodyText"/>
      </w:pPr>
      <w:r>
        <w:t xml:space="preserve">Furthermore, the relationship with local ophthalmologists is collaborative rather than competitive. This interdisciplinary cooperation is vital in the Japanese healthcare model, where optometrists and ophthalmologists work together to manage eye health. The</w:t>
      </w:r>
      <w:r>
        <w:t xml:space="preserve"> </w:t>
      </w:r>
      <w:r>
        <w:rPr>
          <w:bCs/>
          <w:b/>
        </w:rPr>
        <w:t xml:space="preserve">Optometrist</w:t>
      </w:r>
      <w:r>
        <w:t xml:space="preserve"> </w:t>
      </w:r>
      <w:r>
        <w:t xml:space="preserve">was observed communicating clearly and professionally with referring physicians, providing detailed reports on refraction and screening findings.</w:t>
      </w:r>
    </w:p>
    <w:bookmarkEnd w:id="28"/>
    <w:bookmarkStart w:id="29" w:name="recommendations-and-conclusion"/>
    <w:p>
      <w:pPr>
        <w:pStyle w:val="Heading2"/>
      </w:pPr>
      <w:r>
        <w:t xml:space="preserve">6. Recommendations and Conclusion</w:t>
      </w:r>
    </w:p>
    <w:p>
      <w:pPr>
        <w:pStyle w:val="FirstParagraph"/>
      </w:pPr>
      <w:r>
        <w:rPr>
          <w:bCs/>
          <w:b/>
        </w:rPr>
        <w:t xml:space="preserve">Overall Rating:</w:t>
      </w:r>
      <w:r>
        <w:t xml:space="preserve"> </w:t>
      </w:r>
      <w:r>
        <w:t xml:space="preserve">Excellent</w:t>
      </w:r>
      <w:r>
        <w:br/>
      </w:r>
      <w:r>
        <w:rPr>
          <w:bCs/>
          <w:b/>
        </w:rPr>
        <w:t xml:space="preserve">Recommendation:</w:t>
      </w:r>
      <w:r>
        <w:t xml:space="preserve"> </w:t>
      </w:r>
      <w:r>
        <w:t xml:space="preserve">Renewal of Practice Privileges</w:t>
      </w:r>
    </w:p>
    <w:p>
      <w:pPr>
        <w:pStyle w:val="BodyText"/>
      </w:pPr>
      <w:r>
        <w:t xml:space="preserve">Based on the evidence gathered during this</w:t>
      </w:r>
      <w:r>
        <w:t xml:space="preserve"> </w:t>
      </w:r>
      <w:r>
        <w:rPr>
          <w:bCs/>
          <w:b/>
        </w:rPr>
        <w:t xml:space="preserve">Peer Review Report</w:t>
      </w:r>
      <w:r>
        <w:t xml:space="preserve">, the</w:t>
      </w:r>
      <w:r>
        <w:t xml:space="preserve"> </w:t>
      </w:r>
      <w:r>
        <w:rPr>
          <w:bCs/>
          <w:b/>
        </w:rPr>
        <w:t xml:space="preserve">Optometrist</w:t>
      </w:r>
      <w:r>
        <w:t xml:space="preserve"> </w:t>
      </w:r>
      <w:r>
        <w:t xml:space="preserve">in question meets and exceeds the required standards for practice in</w:t>
      </w:r>
      <w:r>
        <w:t xml:space="preserve"> </w:t>
      </w:r>
      <w:r>
        <w:rPr>
          <w:bCs/>
          <w:b/>
        </w:rPr>
        <w:t xml:space="preserve">Japan Tokyo</w:t>
      </w:r>
      <w:r>
        <w:t xml:space="preserve">. The practitioner exhibits high clinical competence, maintains a safe and compliant facility, and upholds the ethical standards of the profession.</w:t>
      </w:r>
    </w:p>
    <w:p>
      <w:pPr>
        <w:pStyle w:val="BodyText"/>
      </w:pPr>
      <w:r>
        <w:rPr>
          <w:bCs/>
          <w:b/>
        </w:rPr>
        <w:t xml:space="preserve">Minor Recommendations:</w:t>
      </w:r>
    </w:p>
    <w:p>
      <w:pPr>
        <w:numPr>
          <w:ilvl w:val="0"/>
          <w:numId w:val="1002"/>
        </w:numPr>
        <w:pStyle w:val="Compact"/>
      </w:pPr>
      <w:r>
        <w:t xml:space="preserve">Consider implementing digital patient records to further streamline referrals to ophthalmologists.</w:t>
      </w:r>
    </w:p>
    <w:p>
      <w:pPr>
        <w:numPr>
          <w:ilvl w:val="0"/>
          <w:numId w:val="1002"/>
        </w:numPr>
        <w:pStyle w:val="Compact"/>
      </w:pPr>
      <w:r>
        <w:t xml:space="preserve">Expand educational materials on myopia control for parents, given the rising rates of childhood myopia in Tokyo.</w:t>
      </w:r>
    </w:p>
    <w:p>
      <w:pPr>
        <w:pStyle w:val="FirstParagraph"/>
      </w:pPr>
      <w:r>
        <w:t xml:space="preserve">This report serves as an official record of the peer review process, affirming the quality of care provided by this</w:t>
      </w:r>
      <w:r>
        <w:t xml:space="preserve"> </w:t>
      </w:r>
      <w:r>
        <w:rPr>
          <w:bCs/>
          <w:b/>
        </w:rPr>
        <w:t xml:space="preserve">Optometrist</w:t>
      </w:r>
      <w:r>
        <w:t xml:space="preserve"> </w:t>
      </w:r>
      <w:r>
        <w:t xml:space="preserve">to the community of</w:t>
      </w:r>
      <w:r>
        <w:t xml:space="preserve"> </w:t>
      </w:r>
      <w:r>
        <w:rPr>
          <w:bCs/>
          <w:b/>
        </w:rPr>
        <w:t xml:space="preserve">Japan Tokyo</w:t>
      </w:r>
      <w:r>
        <w:t xml:space="preserve">.</w:t>
      </w:r>
    </w:p>
    <w:bookmarkEnd w:id="29"/>
    <w:p>
      <w:pPr>
        <w:pStyle w:val="BodyText"/>
      </w:pPr>
      <w:r>
        <w:rPr>
          <w:bCs/>
          <w:b/>
        </w:rPr>
        <w:t xml:space="preserve">Prepared by:</w:t>
      </w:r>
      <w:r>
        <w:t xml:space="preserve"> </w:t>
      </w:r>
      <w:r>
        <w:t xml:space="preserve">Dr. Kenji Sato, Senior Reviewer</w:t>
      </w:r>
      <w:r>
        <w:br/>
      </w:r>
      <w:r>
        <w:rPr>
          <w:bCs/>
          <w:b/>
        </w:rPr>
        <w:t xml:space="preserve">Organization:</w:t>
      </w:r>
      <w:r>
        <w:t xml:space="preserve"> </w:t>
      </w:r>
      <w:r>
        <w:t xml:space="preserve">Tokyo Metropolitan Optometric Association</w:t>
      </w:r>
      <w:r>
        <w:br/>
      </w:r>
      <w:r>
        <w:rPr>
          <w:bCs/>
          <w:b/>
        </w:rPr>
        <w:t xml:space="preserve">Address:</w:t>
      </w:r>
      <w:r>
        <w:t xml:space="preserve"> </w:t>
      </w:r>
      <w:r>
        <w:t xml:space="preserve">Chiyoda-ku, Tokyo, Japan</w:t>
      </w:r>
      <w:r>
        <w:br/>
      </w:r>
      <w:r>
        <w:rPr>
          <w:iCs/>
          <w:i/>
        </w:rPr>
        <w:t xml:space="preserve">This document is confidential and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Japan Tokyo</dc:title>
  <dc:creator/>
  <dc:language>en</dc:language>
  <cp:keywords/>
  <dcterms:created xsi:type="dcterms:W3CDTF">2026-10-10T03:52:28Z</dcterms:created>
  <dcterms:modified xsi:type="dcterms:W3CDTF">2026-10-10T03:52:28Z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