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Optometrist</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Manila Optometric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performance, ethical conduct, and adherence to professional standards of the practicing Optometrist within the jurisdiction of Philippines Manila. The primary objective of this review is to ensure that the highest quality of eye care is delivered to the public, in strict compliance with the provisions of Republic Act No. 5527, also known as the "Optometry Law of the Philippines," and the updated guidelines issued by the Professional Regulation Commission (PRC) and the Philippine Optometric Association (POA).</w:t>
      </w:r>
    </w:p>
    <w:p>
      <w:pPr>
        <w:pStyle w:val="BodyText"/>
      </w:pPr>
      <w:r>
        <w:t xml:space="preserve">Given the high density of the population in Philippines Manila and the increasing prevalence of ocular diseases such as diabetic retinopathy and glaucoma, the role of the Optometrist is critical. This document serves as a formal record of the assessment conducted to verify that the practitioner maintains the necessary clinical acumen, utilizes appropriate diagnostic technology, and upholds the integrity of the profession in this metropolitan region.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Optometrist's practice over the preceding twelve months. The evaluation focuses on several key areas relevant to the healthcare landscape in Philippines Manila:</w:t>
      </w:r>
    </w:p>
    <w:p>
      <w:pPr>
        <w:numPr>
          <w:ilvl w:val="0"/>
          <w:numId w:val="1001"/>
        </w:numPr>
        <w:pStyle w:val="Compact"/>
      </w:pPr>
      <w:r>
        <w:rPr>
          <w:bCs/>
          <w:b/>
        </w:rPr>
        <w:t xml:space="preserve">Clinical Competency:</w:t>
      </w:r>
      <w:r>
        <w:t xml:space="preserve"> </w:t>
      </w:r>
      <w:r>
        <w:t xml:space="preserve">Accuracy in refraction, diagnosis of ocular conditions, and management of visual disorders.</w:t>
      </w:r>
    </w:p>
    <w:p>
      <w:pPr>
        <w:numPr>
          <w:ilvl w:val="0"/>
          <w:numId w:val="1001"/>
        </w:numPr>
        <w:pStyle w:val="Compact"/>
      </w:pPr>
      <w:r>
        <w:rPr>
          <w:bCs/>
          <w:b/>
        </w:rPr>
        <w:t xml:space="preserve">Regulatory Compliance:</w:t>
      </w:r>
      <w:r>
        <w:t xml:space="preserve"> </w:t>
      </w:r>
      <w:r>
        <w:t xml:space="preserve">Adherence to the Code of Ethics for Optometrists in the Philippines and local health ordinances in Manila.</w:t>
      </w:r>
    </w:p>
    <w:p>
      <w:pPr>
        <w:numPr>
          <w:ilvl w:val="0"/>
          <w:numId w:val="1001"/>
        </w:numPr>
        <w:pStyle w:val="Compact"/>
      </w:pPr>
      <w:r>
        <w:rPr>
          <w:bCs/>
          <w:b/>
        </w:rPr>
        <w:t xml:space="preserve">Patient Safety:</w:t>
      </w:r>
      <w:r>
        <w:t xml:space="preserve"> </w:t>
      </w:r>
      <w:r>
        <w:t xml:space="preserve">Sterilization protocols, infection control measures, and safe handling of ophthalmic instruments.</w:t>
      </w:r>
    </w:p>
    <w:p>
      <w:pPr>
        <w:numPr>
          <w:ilvl w:val="0"/>
          <w:numId w:val="1001"/>
        </w:numPr>
        <w:pStyle w:val="Compact"/>
      </w:pPr>
      <w:r>
        <w:rPr>
          <w:bCs/>
          <w:b/>
        </w:rPr>
        <w:t xml:space="preserve">Documentation:</w:t>
      </w:r>
      <w:r>
        <w:t xml:space="preserve"> </w:t>
      </w:r>
      <w:r>
        <w:t xml:space="preserve">Completeness and accuracy of patient records, including medical history and prescription details.</w:t>
      </w:r>
    </w:p>
    <w:p>
      <w:pPr>
        <w:numPr>
          <w:ilvl w:val="0"/>
          <w:numId w:val="1001"/>
        </w:numPr>
        <w:pStyle w:val="Compact"/>
      </w:pPr>
      <w:r>
        <w:rPr>
          <w:bCs/>
          <w:b/>
        </w:rPr>
        <w:t xml:space="preserve">Continuing Professional Development (CPD):</w:t>
      </w:r>
      <w:r>
        <w:t xml:space="preserve"> </w:t>
      </w:r>
      <w:r>
        <w:t xml:space="preserve">Verification of CPD units earned as required by the PRC for license renewal.</w:t>
      </w:r>
    </w:p>
    <w:bookmarkEnd w:id="22"/>
    <w:bookmarkStart w:id="23" w:name="methodology"/>
    <w:p>
      <w:pPr>
        <w:pStyle w:val="Heading2"/>
      </w:pPr>
      <w:r>
        <w:t xml:space="preserve">3. Methodology</w:t>
      </w:r>
    </w:p>
    <w:p>
      <w:pPr>
        <w:pStyle w:val="FirstParagraph"/>
      </w:pPr>
      <w:r>
        <w:t xml:space="preserve">The review process was conducted through a multi-faceted approach designed to provide an objective assessment. The Peer Review Committee utilized the following methods:</w:t>
      </w:r>
    </w:p>
    <w:p>
      <w:pPr>
        <w:numPr>
          <w:ilvl w:val="0"/>
          <w:numId w:val="1002"/>
        </w:numPr>
        <w:pStyle w:val="Compact"/>
      </w:pPr>
      <w:r>
        <w:rPr>
          <w:bCs/>
          <w:b/>
        </w:rPr>
        <w:t xml:space="preserve">Record Audit:</w:t>
      </w:r>
      <w:r>
        <w:t xml:space="preserve"> </w:t>
      </w:r>
      <w:r>
        <w:t xml:space="preserve">A random sampling of fifty (50) patient records was reviewed to assess diagnostic accuracy and documentation standards.</w:t>
      </w:r>
    </w:p>
    <w:p>
      <w:pPr>
        <w:numPr>
          <w:ilvl w:val="0"/>
          <w:numId w:val="1002"/>
        </w:numPr>
        <w:pStyle w:val="Compact"/>
      </w:pPr>
      <w:r>
        <w:rPr>
          <w:bCs/>
          <w:b/>
        </w:rPr>
        <w:t xml:space="preserve">Site Inspection:</w:t>
      </w:r>
      <w:r>
        <w:t xml:space="preserve"> </w:t>
      </w:r>
      <w:r>
        <w:t xml:space="preserve">An unannounced visit to the clinic in Philippines Manila was conducted to evaluate the physical environment, equipment calibration, and hygiene standards.</w:t>
      </w:r>
    </w:p>
    <w:p>
      <w:pPr>
        <w:numPr>
          <w:ilvl w:val="0"/>
          <w:numId w:val="1002"/>
        </w:numPr>
        <w:pStyle w:val="Compact"/>
      </w:pPr>
      <w:r>
        <w:rPr>
          <w:bCs/>
          <w:b/>
        </w:rPr>
        <w:t xml:space="preserve">Case Review:</w:t>
      </w:r>
      <w:r>
        <w:t xml:space="preserve"> </w:t>
      </w:r>
      <w:r>
        <w:t xml:space="preserve">Complex cases involving ocular pathology were analyzed to determine the appropriateness of the Optometrist's management plan and referral protocols to ophthalmologists when necessary.</w:t>
      </w:r>
    </w:p>
    <w:p>
      <w:pPr>
        <w:numPr>
          <w:ilvl w:val="0"/>
          <w:numId w:val="1002"/>
        </w:numPr>
        <w:pStyle w:val="Compact"/>
      </w:pPr>
      <w:r>
        <w:rPr>
          <w:bCs/>
          <w:b/>
        </w:rPr>
        <w:t xml:space="preserve">Interview:</w:t>
      </w:r>
      <w:r>
        <w:t xml:space="preserve"> </w:t>
      </w:r>
      <w:r>
        <w:t xml:space="preserve">A structured interview with the Optometrist was held to discuss clinical challenges and professional development goals.</w:t>
      </w:r>
    </w:p>
    <w:bookmarkEnd w:id="23"/>
    <w:bookmarkStart w:id="27" w:name="findings-and-observations"/>
    <w:p>
      <w:pPr>
        <w:pStyle w:val="Heading2"/>
      </w:pPr>
      <w:r>
        <w:t xml:space="preserve">4. Findings and Observations</w:t>
      </w:r>
    </w:p>
    <w:bookmarkStart w:id="24" w:name="clinical-practice-and-diagnosis"/>
    <w:p>
      <w:pPr>
        <w:pStyle w:val="Heading3"/>
      </w:pPr>
      <w:r>
        <w:t xml:space="preserve">4.1 Clinical Practice and Diagnosis</w:t>
      </w:r>
    </w:p>
    <w:p>
      <w:pPr>
        <w:pStyle w:val="FirstParagraph"/>
      </w:pPr>
      <w:r>
        <w:t xml:space="preserve">The Optometrist demonstrated a high level of proficiency in performing comprehensive eye examinations. The findings indicate that the practitioner effectively utilizes modern diagnostic tools, including digital retinal imaging and tonometry, which are essential for early detection of eye diseases common in the Philippines Manila demographic. The refraction procedures were found to be thorough, ensuring accurate prescriptions that enhance patient visual acuity.</w:t>
      </w:r>
    </w:p>
    <w:p>
      <w:pPr>
        <w:pStyle w:val="BodyText"/>
      </w:pPr>
      <w:r>
        <w:t xml:space="preserve">Notably, the Optometrist showed excellent judgment in distinguishing between conditions manageable within the scope of optometry and those requiring medical intervention by an ophthalmologist. This distinction is vital in the Philippines Manila healthcare system to prevent delayed treatment of sight-threatening conditions.</w:t>
      </w:r>
    </w:p>
    <w:bookmarkEnd w:id="24"/>
    <w:bookmarkStart w:id="25" w:name="regulatory-and-ethical-compliance"/>
    <w:p>
      <w:pPr>
        <w:pStyle w:val="Heading3"/>
      </w:pPr>
      <w:r>
        <w:t xml:space="preserve">4.2 Regulatory and Ethical Compliance</w:t>
      </w:r>
    </w:p>
    <w:p>
      <w:pPr>
        <w:pStyle w:val="FirstParagraph"/>
      </w:pPr>
      <w:r>
        <w:t xml:space="preserve">The review confirmed that the Optometrist is in full compliance with the regulatory requirements set forth by the Professional Regulation Commission. The practitioner's license is current, and all required Continuing Professional Development (CPD) units have been documented. Furthermore, the practice adheres to the ethical standards regarding patient confidentiality and informed consent, which are paramount in maintaining public trust in the Philippines Manila.</w:t>
      </w:r>
    </w:p>
    <w:bookmarkEnd w:id="25"/>
    <w:bookmarkStart w:id="26" w:name="infection-control-and-safety"/>
    <w:p>
      <w:pPr>
        <w:pStyle w:val="Heading3"/>
      </w:pPr>
      <w:r>
        <w:t xml:space="preserve">4.3 Infection Control and Safety</w:t>
      </w:r>
    </w:p>
    <w:p>
      <w:pPr>
        <w:pStyle w:val="FirstParagraph"/>
      </w:pPr>
      <w:r>
        <w:t xml:space="preserve">Given the urban environment of Philippines Manila, infection control is of utmost importance. The site inspection revealed that the clinic maintains strict sterilization protocols for all contact lenses, trial frames, and diagnostic instruments. The use of disposable materials where appropriate was observed, significantly reducing the risk of cross-contamination.</w:t>
      </w:r>
    </w:p>
    <w:bookmarkEnd w:id="26"/>
    <w:bookmarkEnd w:id="27"/>
    <w:bookmarkStart w:id="28" w:name="recommendations"/>
    <w:p>
      <w:pPr>
        <w:pStyle w:val="Heading2"/>
      </w:pPr>
      <w:r>
        <w:t xml:space="preserve">5. Recommendations</w:t>
      </w:r>
    </w:p>
    <w:p>
      <w:pPr>
        <w:pStyle w:val="FirstParagraph"/>
      </w:pPr>
      <w:r>
        <w:t xml:space="preserve">While the overall performance of the Optometrist is commendable, the Peer Review Committee offers the following recommendations to further enhance the quality of care:</w:t>
      </w:r>
    </w:p>
    <w:p>
      <w:pPr>
        <w:numPr>
          <w:ilvl w:val="0"/>
          <w:numId w:val="1003"/>
        </w:numPr>
        <w:pStyle w:val="Compact"/>
      </w:pPr>
      <w:r>
        <w:rPr>
          <w:bCs/>
          <w:b/>
        </w:rPr>
        <w:t xml:space="preserve">Enhanced Public Education:</w:t>
      </w:r>
      <w:r>
        <w:t xml:space="preserve"> </w:t>
      </w:r>
      <w:r>
        <w:t xml:space="preserve">The Optometrist is encouraged to engage in more community outreach programs in Philippines Manila to educate the public on eye health, particularly regarding the risks of prolonged screen time and the importance of regular eye exams.</w:t>
      </w:r>
    </w:p>
    <w:p>
      <w:pPr>
        <w:numPr>
          <w:ilvl w:val="0"/>
          <w:numId w:val="1003"/>
        </w:numPr>
        <w:pStyle w:val="Compact"/>
      </w:pPr>
      <w:r>
        <w:rPr>
          <w:bCs/>
          <w:b/>
        </w:rPr>
        <w:t xml:space="preserve">Advanced Training:</w:t>
      </w:r>
      <w:r>
        <w:t xml:space="preserve"> </w:t>
      </w:r>
      <w:r>
        <w:t xml:space="preserve">It is recommended that the practitioner pursue advanced training in low vision rehabilitation to better serve the aging population in the region.</w:t>
      </w:r>
    </w:p>
    <w:p>
      <w:pPr>
        <w:numPr>
          <w:ilvl w:val="0"/>
          <w:numId w:val="1003"/>
        </w:numPr>
        <w:pStyle w:val="Compact"/>
      </w:pPr>
      <w:r>
        <w:rPr>
          <w:bCs/>
          <w:b/>
        </w:rPr>
        <w:t xml:space="preserve">Digital Record Keeping:</w:t>
      </w:r>
      <w:r>
        <w:t xml:space="preserve"> </w:t>
      </w:r>
      <w:r>
        <w:t xml:space="preserve">Transitioning to a fully integrated electronic health record system would improve data security and accessibility, aligning with the modernization efforts of the Philippine healthcare sector.</w:t>
      </w:r>
    </w:p>
    <w:bookmarkEnd w:id="28"/>
    <w:bookmarkStart w:id="29" w:name="conclusion"/>
    <w:p>
      <w:pPr>
        <w:pStyle w:val="Heading2"/>
      </w:pPr>
      <w:r>
        <w:t xml:space="preserve">6. Conclusion</w:t>
      </w:r>
    </w:p>
    <w:p>
      <w:pPr>
        <w:pStyle w:val="FirstParagraph"/>
      </w:pPr>
      <w:r>
        <w:t xml:space="preserve">Based on the evidence gathered during this Peer Review Report, the Optometrist under review is deemed competent, ethical, and fully compliant with the professional standards required in the Philippines Manila. The practitioner demonstrates a commitment to providing high-quality eye care and contributes positively to the health of the community. The recommendations provided are intended to support continuous improvement and excellence in the practice of optometry.</w:t>
      </w:r>
    </w:p>
    <w:p>
      <w:pPr>
        <w:pStyle w:val="BodyText"/>
      </w:pPr>
      <w:r>
        <w:t xml:space="preserve">This report serves as an official endorsement of the Optometrist's professional standing and is to be filed with the relevant regulatory bodies in the Philippines.</w:t>
      </w:r>
    </w:p>
    <w:bookmarkEnd w:id="29"/>
    <w:p>
      <w:pPr>
        <w:pStyle w:val="BodyText"/>
      </w:pPr>
      <w:r>
        <w:rPr>
          <w:bCs/>
          <w:b/>
        </w:rPr>
        <w:t xml:space="preserve">Prepared by:</w:t>
      </w:r>
    </w:p>
    <w:p>
      <w:pPr>
        <w:pStyle w:val="BodyText"/>
      </w:pPr>
      <w:r>
        <w:t xml:space="preserve">Dr. Maria Santos, O.D.</w:t>
      </w:r>
    </w:p>
    <w:p>
      <w:pPr>
        <w:pStyle w:val="BodyText"/>
      </w:pPr>
      <w:r>
        <w:t xml:space="preserve">Chairperson, Peer Review Committee</w:t>
      </w:r>
    </w:p>
    <w:p>
      <w:pPr>
        <w:pStyle w:val="BodyText"/>
      </w:pPr>
      <w:r>
        <w:t xml:space="preserve">Manila Optometric Society</w:t>
      </w:r>
    </w:p>
    <w:p>
      <w:pPr>
        <w:pStyle w:val="BodyText"/>
      </w:pPr>
      <w:r>
        <w:br/>
      </w:r>
    </w:p>
    <w:p>
      <w:pPr>
        <w:pStyle w:val="BodyText"/>
      </w:pPr>
      <w:r>
        <w:rPr>
          <w:bCs/>
          <w:b/>
        </w:rPr>
        <w:t xml:space="preserve">Approved by:</w:t>
      </w:r>
    </w:p>
    <w:p>
      <w:pPr>
        <w:pStyle w:val="BodyText"/>
      </w:pPr>
      <w:r>
        <w:t xml:space="preserve">Dr. Juan Dela Cruz, O.D.</w:t>
      </w:r>
    </w:p>
    <w:p>
      <w:pPr>
        <w:pStyle w:val="BodyText"/>
      </w:pPr>
      <w:r>
        <w:t xml:space="preserve">Regional Director, Professional Regulation Commission</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Philippines Manila</dc:title>
  <dc:creator/>
  <dc:language>en</dc:language>
  <cp:keywords/>
  <dcterms:created xsi:type="dcterms:W3CDTF">2026-10-10T04:21:11Z</dcterms:created>
  <dcterms:modified xsi:type="dcterms:W3CDTF">2026-10-10T04:21:11Z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