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and Clinical Competence of Optometrist</w:t>
      </w:r>
    </w:p>
    <w:p>
      <w:pPr>
        <w:pStyle w:val="BodyText"/>
      </w:pPr>
      <w:r>
        <w:rPr>
          <w:bCs/>
          <w:b/>
        </w:rPr>
        <w:t xml:space="preserve">Location:</w:t>
      </w:r>
      <w:r>
        <w:t xml:space="preserve"> </w:t>
      </w:r>
      <w:r>
        <w:t xml:space="preserve">Russia Moscow</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Medical Quality Assurance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operational procedures, and patient care protocols of a designated Optometrist practicing within the metropolitan area of Russia Moscow. The purpose of this review is to ensure that the practitioner adheres to the highest standards of ophthalmic care, aligning with both international best practices and the specific regulatory requirements of the Russian Federation. The review encompasses an analysis of diagnostic accuracy, equipment calibration, patient safety measures, and the management of ocular health within the unique demographic and environmental context of Moscow.</w:t>
      </w:r>
    </w:p>
    <w:bookmarkEnd w:id="21"/>
    <w:bookmarkStart w:id="22" w:name="introduction-and-scope"/>
    <w:p>
      <w:pPr>
        <w:pStyle w:val="Heading2"/>
      </w:pPr>
      <w:r>
        <w:t xml:space="preserve">2. Introduction and Scope</w:t>
      </w:r>
    </w:p>
    <w:p>
      <w:pPr>
        <w:pStyle w:val="FirstParagraph"/>
      </w:pPr>
      <w:r>
        <w:t xml:space="preserve">The role of the Optometrist in Russia Moscow is critical due to the high prevalence of refractive errors and the increasing demand for advanced vision care in one of the world's largest urban centers. This report assesses the practitioner's ability to deliver comprehensive eye examinations, prescribe corrective lenses, and detect early signs of ocular pathology. The scope of this review includes a site visit to the clinic, a review of patient records (anonymized), interviews with staff, and an evaluation of the clinical environment.</w:t>
      </w:r>
    </w:p>
    <w:p>
      <w:pPr>
        <w:pStyle w:val="BodyText"/>
      </w:pPr>
      <w:r>
        <w:t xml:space="preserve">The review specifically focuses on the integration of modern optometric technology with the rigorous medical standards expected in Moscow's healthcare sector. It also examines the practitioner's compliance with local sanitary norms and professional ethics.</w:t>
      </w:r>
    </w:p>
    <w:bookmarkEnd w:id="22"/>
    <w:bookmarkStart w:id="23" w:name="X45c1b4156b66fede970d38e87ba1f3035493e48"/>
    <w:p>
      <w:pPr>
        <w:pStyle w:val="Heading2"/>
      </w:pPr>
      <w:r>
        <w:t xml:space="preserve">3. Clinical Competence and Diagnostic Accuracy</w:t>
      </w:r>
    </w:p>
    <w:p>
      <w:pPr>
        <w:pStyle w:val="FirstParagraph"/>
      </w:pPr>
      <w:r>
        <w:t xml:space="preserve">The core of this Peer Review Report centers on the clinical skills of the Optometrist. During the observation period, the practitioner demonstrated a high level of proficiency in conducting refraction tests, visual field assessments, and retinal examinations. The diagnostic approach was systematic and thorough, ensuring that no aspect of the patient's visual health was overlooked.</w:t>
      </w:r>
    </w:p>
    <w:p>
      <w:pPr>
        <w:pStyle w:val="BodyText"/>
      </w:pPr>
      <w:r>
        <w:t xml:space="preserve">In the context of Russia Moscow, where patients often present with complex visual needs due to high levels of digital screen usage and urban environmental stressors, the Optometrist showed excellent adaptability. The practitioner effectively utilized advanced diagnostic tools, including optical coherence tomography (OCT) and digital retinal imaging, to identify early signs of conditions such as glaucoma and diabetic retinopathy. The accuracy of the prescriptions issued was verified against objective measurements, revealing a near-perfect correlation.</w:t>
      </w:r>
    </w:p>
    <w:bookmarkEnd w:id="23"/>
    <w:bookmarkStart w:id="24" w:name="equipment-and-facility-standards"/>
    <w:p>
      <w:pPr>
        <w:pStyle w:val="Heading2"/>
      </w:pPr>
      <w:r>
        <w:t xml:space="preserve">4. Equipment and Facility Standards</w:t>
      </w:r>
    </w:p>
    <w:p>
      <w:pPr>
        <w:pStyle w:val="FirstParagraph"/>
      </w:pPr>
      <w:r>
        <w:t xml:space="preserve">A critical component of this review was the assessment of the clinical equipment. The Optometrist's facility in Moscow is equipped with state-of-the-art instruments that meet international standards. All devices were found to be properly calibrated and maintained according to the manufacturer's guidelines and Russian medical device regulations.</w:t>
      </w:r>
    </w:p>
    <w:p>
      <w:pPr>
        <w:pStyle w:val="BodyText"/>
      </w:pPr>
      <w:r>
        <w:t xml:space="preserve">The cleanliness and organization of the clinic were exemplary. Infection control protocols, which are strictly enforced in Russia Moscow, were rigorously followed. The practitioner ensured that all contact lens fittings and slit-lamp examinations were conducted with appropriate hygiene measures, minimizing the risk of cross-contamination. The facility layout facilitates efficient patient flow, reducing wait times and enhancing the overall patient experience.</w:t>
      </w:r>
    </w:p>
    <w:bookmarkEnd w:id="24"/>
    <w:bookmarkStart w:id="25" w:name="patient-care-and-communication"/>
    <w:p>
      <w:pPr>
        <w:pStyle w:val="Heading2"/>
      </w:pPr>
      <w:r>
        <w:t xml:space="preserve">5. Patient Care and Communication</w:t>
      </w:r>
    </w:p>
    <w:p>
      <w:pPr>
        <w:pStyle w:val="FirstParagraph"/>
      </w:pPr>
      <w:r>
        <w:t xml:space="preserve">Effective communication is a cornerstone of successful optometric practice. This Peer Review Report highlights the Optometrist's ability to communicate complex medical information in a clear and understandable manner. The practitioner demonstrated empathy and patience, ensuring that patients felt comfortable and informed throughout the examination process.</w:t>
      </w:r>
    </w:p>
    <w:p>
      <w:pPr>
        <w:pStyle w:val="BodyText"/>
      </w:pPr>
      <w:r>
        <w:t xml:space="preserve">Given the multilingual nature of Russia Moscow, the Optometrist's ability to communicate in both Russian and English was noted as a significant asset. This skill allows the practitioner to serve a diverse patient population, including expatriates and international visitors. Patient feedback collected during the review period was overwhelmingly positive, with many praising the professionalism and attentiveness of the Optometrist.</w:t>
      </w:r>
    </w:p>
    <w:bookmarkEnd w:id="25"/>
    <w:bookmarkStart w:id="26" w:name="regulatory-compliance-and-ethics"/>
    <w:p>
      <w:pPr>
        <w:pStyle w:val="Heading2"/>
      </w:pPr>
      <w:r>
        <w:t xml:space="preserve">6. Regulatory Compliance and Ethics</w:t>
      </w:r>
    </w:p>
    <w:p>
      <w:pPr>
        <w:pStyle w:val="FirstParagraph"/>
      </w:pPr>
      <w:r>
        <w:t xml:space="preserve">The review confirmed that the Optometrist is fully licensed to practice in Russia Moscow and is in good standing with the relevant professional bodies. The practitioner adheres to the ethical guidelines set forth by the Russian Medical Association and international optometric organizations. Patient confidentiality was strictly maintained, with all records securely stored and accessible only to authorized personnel.</w:t>
      </w:r>
    </w:p>
    <w:p>
      <w:pPr>
        <w:pStyle w:val="BodyText"/>
      </w:pPr>
      <w:r>
        <w:t xml:space="preserve">The Optometrist also demonstrated a commitment to continuing professional development, regularly attending conferences and workshops to stay updated on the latest advancements in eye care. This dedication to lifelong learning is essential for maintaining high standards of practice in a rapidly evolving field.</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practice of the Optometrist in Russia Moscow:</w:t>
      </w:r>
    </w:p>
    <w:p>
      <w:pPr>
        <w:numPr>
          <w:ilvl w:val="0"/>
          <w:numId w:val="1001"/>
        </w:numPr>
        <w:pStyle w:val="Compact"/>
      </w:pPr>
      <w:r>
        <w:t xml:space="preserve">Implement a digital patient portal to facilitate easier appointment scheduling and access to test results.</w:t>
      </w:r>
    </w:p>
    <w:p>
      <w:pPr>
        <w:numPr>
          <w:ilvl w:val="0"/>
          <w:numId w:val="1001"/>
        </w:numPr>
        <w:pStyle w:val="Compact"/>
      </w:pPr>
      <w:r>
        <w:t xml:space="preserve">Expand the range of low-vision aids available for patients with irreversible vision loss.</w:t>
      </w:r>
    </w:p>
    <w:p>
      <w:pPr>
        <w:numPr>
          <w:ilvl w:val="0"/>
          <w:numId w:val="1001"/>
        </w:numPr>
        <w:pStyle w:val="Compact"/>
      </w:pPr>
      <w:r>
        <w:t xml:space="preserve">Conduct regular staff training sessions on the latest infection control protocols to maintain the highest standards of hygiene.</w:t>
      </w:r>
    </w:p>
    <w:bookmarkEnd w:id="27"/>
    <w:bookmarkStart w:id="28" w:name="conclusion"/>
    <w:p>
      <w:pPr>
        <w:pStyle w:val="Heading2"/>
      </w:pPr>
      <w:r>
        <w:t xml:space="preserve">8. Conclusion</w:t>
      </w:r>
    </w:p>
    <w:p>
      <w:pPr>
        <w:pStyle w:val="FirstParagraph"/>
      </w:pPr>
      <w:r>
        <w:t xml:space="preserve">In conclusion, this Peer Review Report affirms that the Optometrist under review provides exceptional eye care services in Russia Moscow. The practitioner's clinical competence, commitment to patient safety, and adherence to regulatory standards are commendable. The facility is well-equipped and maintained, and the patient care approach is both professional and compassionate. This review confirms that the Optometrist is a valuable asset to the healthcare community in Moscow and continues to uphold the highest standards of the profession.</w:t>
      </w:r>
    </w:p>
    <w:bookmarkEnd w:id="28"/>
    <w:p>
      <w:pPr>
        <w:pStyle w:val="BodyText"/>
      </w:pPr>
      <w:r>
        <w:rPr>
          <w:bCs/>
          <w:b/>
        </w:rPr>
        <w:t xml:space="preserve">Prepared by:</w:t>
      </w:r>
    </w:p>
    <w:p>
      <w:pPr>
        <w:pStyle w:val="BodyText"/>
      </w:pPr>
      <w:r>
        <w:t xml:space="preserve">Dr. Elena Volkova, MD, PhD</w:t>
      </w:r>
    </w:p>
    <w:p>
      <w:pPr>
        <w:pStyle w:val="BodyText"/>
      </w:pPr>
      <w:r>
        <w:t xml:space="preserve">Senior Reviewer, Independent Medical Quality Assurance Panel</w:t>
      </w:r>
    </w:p>
    <w:p>
      <w:pPr>
        <w:pStyle w:val="BodyText"/>
      </w:pPr>
      <w:r>
        <w:rPr>
          <w:bCs/>
          <w:b/>
        </w:rPr>
        <w:t xml:space="preserve">Approved by:</w:t>
      </w:r>
    </w:p>
    <w:p>
      <w:pPr>
        <w:pStyle w:val="BodyText"/>
      </w:pPr>
      <w:r>
        <w:t xml:space="preserve">Dr. Alexander Petrov, MD</w:t>
      </w:r>
    </w:p>
    <w:p>
      <w:pPr>
        <w:pStyle w:val="BodyText"/>
      </w:pPr>
      <w:r>
        <w:t xml:space="preserve">Chairman,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Russia Moscow</dc:title>
  <dc:creator/>
  <dc:language>en</dc:language>
  <cp:keywords/>
  <dcterms:created xsi:type="dcterms:W3CDTF">2026-10-10T01:59:38Z</dcterms:created>
  <dcterms:modified xsi:type="dcterms:W3CDTF">2026-10-10T01:59:38Z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