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Optometrist</w:t>
      </w:r>
    </w:p>
    <w:p>
      <w:pPr>
        <w:pStyle w:val="BodyText"/>
      </w:pPr>
      <w:r>
        <w:rPr>
          <w:bCs/>
          <w:b/>
        </w:rPr>
        <w:t xml:space="preserve">Location:</w:t>
      </w:r>
      <w:r>
        <w:t xml:space="preserve"> </w:t>
      </w:r>
      <w:r>
        <w:t xml:space="preserve">United States Miami, Florida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Miami-Dade County Optometric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Florida Board of Optometry and the applicable regulations governing the practice of optometry within the United States Miami metropolitan area. The primary objective of this review is to evaluate the clinical competence, ethical conduct, and operational compliance of the subject Optometrist. This document serves as a formal assessment tool to ensure that the highest standards of patient care are maintained, aligning with both state mandates and the professional expectations of the local medical community in Miami.</w:t>
      </w:r>
    </w:p>
    <w:p>
      <w:pPr>
        <w:pStyle w:val="BodyText"/>
      </w:pPr>
      <w:r>
        <w:t xml:space="preserve">The review process was initiated following a routine quality assurance audit. The scope of this evaluation encompasses clinical record-keeping, diagnostic accuracy, treatment protocols, patient communication, and adherence to the Florida Statutes Chapter 457 and Chapter 491, which regulate the practice of optometry in the state.</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Optometrist Name</w:t>
            </w:r>
          </w:p>
        </w:tc>
        <w:tc>
          <w:tcPr/>
          <w:p>
            <w:pPr>
              <w:pStyle w:val="Compact"/>
              <w:jc w:val="left"/>
            </w:pPr>
            <w:r>
              <w:t xml:space="preserve">[Redacted for Privacy]</w:t>
            </w:r>
          </w:p>
        </w:tc>
      </w:tr>
      <w:tr>
        <w:tc>
          <w:tcPr/>
          <w:p>
            <w:pPr>
              <w:pStyle w:val="Compact"/>
              <w:jc w:val="left"/>
            </w:pPr>
            <w:r>
              <w:t xml:space="preserve">License Number</w:t>
            </w:r>
          </w:p>
        </w:tc>
        <w:tc>
          <w:tcPr/>
          <w:p>
            <w:pPr>
              <w:pStyle w:val="Compact"/>
              <w:jc w:val="left"/>
            </w:pPr>
            <w:r>
              <w:t xml:space="preserve">FL-XXXXX</w:t>
            </w:r>
          </w:p>
        </w:tc>
      </w:tr>
      <w:tr>
        <w:tc>
          <w:tcPr/>
          <w:p>
            <w:pPr>
              <w:pStyle w:val="Compact"/>
              <w:jc w:val="left"/>
            </w:pPr>
            <w:r>
              <w:t xml:space="preserve">Practice Location</w:t>
            </w:r>
          </w:p>
        </w:tc>
        <w:tc>
          <w:tcPr/>
          <w:p>
            <w:pPr>
              <w:pStyle w:val="Compact"/>
              <w:jc w:val="left"/>
            </w:pPr>
            <w:r>
              <w:t xml:space="preserve">Brickell Avenue, Miami, FL 33131</w:t>
            </w:r>
          </w:p>
        </w:tc>
      </w:tr>
      <w:tr>
        <w:tc>
          <w:tcPr/>
          <w:p>
            <w:pPr>
              <w:pStyle w:val="Compact"/>
              <w:jc w:val="left"/>
            </w:pPr>
            <w:r>
              <w:t xml:space="preserve">Years of Practice</w:t>
            </w:r>
          </w:p>
        </w:tc>
        <w:tc>
          <w:tcPr/>
          <w:p>
            <w:pPr>
              <w:pStyle w:val="Compact"/>
              <w:jc w:val="left"/>
            </w:pPr>
            <w:r>
              <w:t xml:space="preserve">12 Years</w:t>
            </w:r>
          </w:p>
        </w:tc>
      </w:tr>
      <w:tr>
        <w:tc>
          <w:tcPr/>
          <w:p>
            <w:pPr>
              <w:pStyle w:val="Compact"/>
              <w:jc w:val="left"/>
            </w:pPr>
            <w:r>
              <w:t xml:space="preserve">Specialization</w:t>
            </w:r>
          </w:p>
        </w:tc>
        <w:tc>
          <w:tcPr/>
          <w:p>
            <w:pPr>
              <w:pStyle w:val="Compact"/>
              <w:jc w:val="left"/>
            </w:pPr>
            <w:r>
              <w:t xml:space="preserve">General Optometry and Contact Lens Fitting</w:t>
            </w:r>
          </w:p>
        </w:tc>
      </w:tr>
    </w:tbl>
    <w:bookmarkEnd w:id="22"/>
    <w:bookmarkStart w:id="23" w:name="X45c1b4156b66fede970d38e87ba1f3035493e48"/>
    <w:p>
      <w:pPr>
        <w:pStyle w:val="Heading2"/>
      </w:pPr>
      <w:r>
        <w:t xml:space="preserve">3. Clinical Competence and Diagnostic Accuracy</w:t>
      </w:r>
    </w:p>
    <w:p>
      <w:pPr>
        <w:pStyle w:val="FirstParagraph"/>
      </w:pPr>
      <w:r>
        <w:t xml:space="preserve">The review committee conducted a comprehensive analysis of 50 randomly selected patient files from the Optometrist's practice in Miami. The evaluation focused on the thoroughness of eye examinations, the accuracy of refractive error determinations, and the identification of ocular pathologies.</w:t>
      </w:r>
    </w:p>
    <w:p>
      <w:pPr>
        <w:pStyle w:val="BodyText"/>
      </w:pPr>
      <w:r>
        <w:rPr>
          <w:bCs/>
          <w:b/>
        </w:rPr>
        <w:t xml:space="preserve">Findings:</w:t>
      </w:r>
      <w:r>
        <w:t xml:space="preserve"> </w:t>
      </w:r>
      <w:r>
        <w:t xml:space="preserve">The Optometrist demonstrated a high level of clinical proficiency. Diagnostic procedures, including tonometry, visual field testing, and dilated fundus examinations, were performed correctly and documented in detail. The correlation between subjective refraction and objective findings was consistent. Notably, the Optometrist showed particular diligence in screening for glaucoma and diabetic retinopathy, conditions prevalent in the diverse demographic of United States Miami. The referral patterns to ophthalmologists for complex cases were appropriate and timely, ensuring that patients received necessary specialized care without delay.</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optometric practice, especially in a multicultural environment like Miami. This section evaluates the Optometrist's ability to explain diagnoses, treatment options, and preventive care measures to patients.</w:t>
      </w:r>
    </w:p>
    <w:p>
      <w:pPr>
        <w:pStyle w:val="BodyText"/>
      </w:pPr>
      <w:r>
        <w:rPr>
          <w:bCs/>
          <w:b/>
        </w:rPr>
        <w:t xml:space="preserve">Findings:</w:t>
      </w:r>
      <w:r>
        <w:t xml:space="preserve"> </w:t>
      </w:r>
      <w:r>
        <w:t xml:space="preserve">Patient feedback forms and chart notes indicate that the Optometrist maintains a professional and empathetic demeanor. The ability to communicate in both English and Spanish was noted as a significant asset, facilitating better understanding and compliance among the local population. Instructions regarding contact lens hygiene, UV protection, and follow-up appointments were clearly documented as having been conveyed to the patients. No complaints regarding bedside manner or communication barriers were found in the reviewed records.</w:t>
      </w:r>
    </w:p>
    <w:bookmarkEnd w:id="24"/>
    <w:bookmarkStart w:id="25" w:name="Xd6552fb5293a8a476d837ac2c6e339477353a80"/>
    <w:p>
      <w:pPr>
        <w:pStyle w:val="Heading2"/>
      </w:pPr>
      <w:r>
        <w:t xml:space="preserve">5. Compliance with Legal and Ethical Standards</w:t>
      </w:r>
    </w:p>
    <w:p>
      <w:pPr>
        <w:pStyle w:val="FirstParagraph"/>
      </w:pPr>
      <w:r>
        <w:t xml:space="preserve">Adherence to the legal framework governing optometry in Florida is mandatory. This review assessed compliance with prescribing laws, advertising regulations, and billing practices.</w:t>
      </w:r>
    </w:p>
    <w:p>
      <w:pPr>
        <w:pStyle w:val="BodyText"/>
      </w:pPr>
      <w:r>
        <w:rPr>
          <w:bCs/>
          <w:b/>
        </w:rPr>
        <w:t xml:space="preserve">Findings:</w:t>
      </w:r>
      <w:r>
        <w:t xml:space="preserve"> </w:t>
      </w:r>
      <w:r>
        <w:t xml:space="preserve">The Optometrist's practice is fully compliant with the Florida Board of Optometry regulations. Prescriptions for eyeglasses and contact lenses were provided to patients promptly upon request, as required by law. There were no instances of upcoding or fraudulent billing practices detected. The practice maintains proper informed consent forms for all procedures, including laser vision correction consultations. Ethical standards regarding patient confidentiality (HIPAA) were strictly observed, with secure storage of electronic health records.</w:t>
      </w:r>
    </w:p>
    <w:bookmarkEnd w:id="25"/>
    <w:bookmarkStart w:id="26" w:name="facility-and-equipment-standards"/>
    <w:p>
      <w:pPr>
        <w:pStyle w:val="Heading2"/>
      </w:pPr>
      <w:r>
        <w:t xml:space="preserve">6. Facility and Equipment Standards</w:t>
      </w:r>
    </w:p>
    <w:p>
      <w:pPr>
        <w:pStyle w:val="FirstParagraph"/>
      </w:pPr>
      <w:r>
        <w:t xml:space="preserve">The physical environment and the quality of equipment used directly impact the quality of care. The review included an inspection of the clinic located in Miami.</w:t>
      </w:r>
    </w:p>
    <w:p>
      <w:pPr>
        <w:pStyle w:val="BodyText"/>
      </w:pPr>
      <w:r>
        <w:rPr>
          <w:bCs/>
          <w:b/>
        </w:rPr>
        <w:t xml:space="preserve">Findings:</w:t>
      </w:r>
      <w:r>
        <w:t xml:space="preserve"> </w:t>
      </w:r>
      <w:r>
        <w:t xml:space="preserve">The facility is clean, well-organized, and accessible. All diagnostic equipment, including autorefractors, slit lamps, and OCT machines, are up-to-date and calibrated regularly. Infection control protocols are rigorously followed, with proper sterilization of instruments and use of disposable covers where appropriate. The practice meets all safety standards required by the local health department in Miami-Dade County.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care provided by the Optometrist:</w:t>
      </w:r>
    </w:p>
    <w:p>
      <w:pPr>
        <w:numPr>
          <w:ilvl w:val="0"/>
          <w:numId w:val="1001"/>
        </w:numPr>
        <w:pStyle w:val="Compact"/>
      </w:pPr>
      <w:r>
        <w:rPr>
          <w:bCs/>
          <w:b/>
        </w:rPr>
        <w:t xml:space="preserve">Continuing Education:</w:t>
      </w:r>
      <w:r>
        <w:t xml:space="preserve"> </w:t>
      </w:r>
      <w:r>
        <w:t xml:space="preserve">It is recommended that the Optometrist pursue advanced training in pediatric optometry to better serve the growing family demographic in Miami.</w:t>
      </w:r>
    </w:p>
    <w:p>
      <w:pPr>
        <w:numPr>
          <w:ilvl w:val="0"/>
          <w:numId w:val="1001"/>
        </w:numPr>
        <w:pStyle w:val="Compact"/>
      </w:pPr>
      <w:r>
        <w:rPr>
          <w:bCs/>
          <w:b/>
        </w:rPr>
        <w:t xml:space="preserve">Telehealth Integration:</w:t>
      </w:r>
      <w:r>
        <w:t xml:space="preserve"> </w:t>
      </w:r>
      <w:r>
        <w:t xml:space="preserve">Consider integrating telehealth options for follow-up consultations to improve patient convenience and accessibility.</w:t>
      </w:r>
    </w:p>
    <w:p>
      <w:pPr>
        <w:numPr>
          <w:ilvl w:val="0"/>
          <w:numId w:val="1001"/>
        </w:numPr>
        <w:pStyle w:val="Compact"/>
      </w:pPr>
      <w:r>
        <w:rPr>
          <w:bCs/>
          <w:b/>
        </w:rPr>
        <w:t xml:space="preserve">Documentation Enhancement:</w:t>
      </w:r>
      <w:r>
        <w:t xml:space="preserve"> </w:t>
      </w:r>
      <w:r>
        <w:t xml:space="preserve">While documentation is generally excellent, adding more detailed notes on patient lifestyle factors affecting eye health could further personalize care plans.</w:t>
      </w:r>
    </w:p>
    <w:bookmarkEnd w:id="27"/>
    <w:bookmarkStart w:id="28" w:name="conclusion"/>
    <w:p>
      <w:pPr>
        <w:pStyle w:val="Heading2"/>
      </w:pPr>
      <w:r>
        <w:t xml:space="preserve">8. Conclusion</w:t>
      </w:r>
    </w:p>
    <w:p>
      <w:pPr>
        <w:pStyle w:val="FirstParagraph"/>
      </w:pPr>
      <w:r>
        <w:t xml:space="preserve">In conclusion, this Peer Review Report confirms that the subject Optometrist is practicing at a level that meets and often exceeds the professional standards expected in the United States Miami region. The Optometrist demonstrates clinical excellence, ethical integrity, and a strong commitment to patient welfare. No disciplinary action is warranted at this time. The practice is deemed safe and effective for the community it serves.</w:t>
      </w:r>
    </w:p>
    <w:p>
      <w:pPr>
        <w:pStyle w:val="BodyText"/>
      </w:pPr>
      <w:r>
        <w:t xml:space="preserve">This report will be filed with the Miami-Dade County Optometric Peer Review Committee and a copy will be provided to the Optometrist for their records. A follow-up review is scheduled for the next standard cycle in three years, unless otherwise indicated by future complaints or incidents.</w:t>
      </w:r>
    </w:p>
    <w:bookmarkEnd w:id="28"/>
    <w:p>
      <w:pPr>
        <w:pStyle w:val="BodyText"/>
      </w:pPr>
      <w:r>
        <w:rPr>
          <w:bCs/>
          <w:b/>
        </w:rPr>
        <w:t xml:space="preserve">Prepared By:</w:t>
      </w:r>
    </w:p>
    <w:p>
      <w:pPr>
        <w:pStyle w:val="BodyText"/>
      </w:pPr>
      <w:r>
        <w:t xml:space="preserve">Dr. Elena Rodriguez, O.D.</w:t>
      </w:r>
    </w:p>
    <w:p>
      <w:pPr>
        <w:pStyle w:val="BodyText"/>
      </w:pPr>
      <w:r>
        <w:t xml:space="preserve">Chairperson, Peer Review Committee</w:t>
      </w:r>
    </w:p>
    <w:p>
      <w:pPr>
        <w:pStyle w:val="BodyText"/>
      </w:pPr>
      <w:r>
        <w:t xml:space="preserve">Miami-Dade County Optometric Society</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Evaluation</dc:title>
  <dc:creator/>
  <dc:language>en</dc:language>
  <cp:keywords/>
  <dcterms:created xsi:type="dcterms:W3CDTF">2026-10-10T08:52:10Z</dcterms:created>
  <dcterms:modified xsi:type="dcterms:W3CDTF">2026-10-10T08:52:10Z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