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Comprehensive Clinical and Operational Assessment of Orthodontic Services</w:t>
      </w:r>
    </w:p>
    <w:bookmarkEnd w:id="20"/>
    <w:p>
      <w:pPr>
        <w:pStyle w:val="BodyText"/>
      </w:pPr>
      <w:r>
        <w:rPr>
          <w:bCs/>
          <w:b/>
        </w:rPr>
        <w:t xml:space="preserve">Subject:</w:t>
      </w:r>
      <w:r>
        <w:t xml:space="preserve"> </w:t>
      </w:r>
      <w:r>
        <w:t xml:space="preserve">Evaluation of Orthodontist Clinical Competency and Practice Standards</w:t>
      </w:r>
    </w:p>
    <w:p>
      <w:pPr>
        <w:pStyle w:val="BodyText"/>
      </w:pPr>
      <w:r>
        <w:rPr>
          <w:bCs/>
          <w:b/>
        </w:rPr>
        <w:t xml:space="preserve">Location:</w:t>
      </w:r>
      <w:r>
        <w:t xml:space="preserve"> </w:t>
      </w:r>
      <w:r>
        <w:t xml:space="preserve">Japan Osaka (Osaka Prefecture)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Retrospective Case Analysis and Facility Inspection</w:t>
      </w:r>
    </w:p>
    <w:p>
      <w:pPr>
        <w:pStyle w:val="BodyText"/>
      </w:pPr>
      <w:r>
        <w:rPr>
          <w:bCs/>
          <w:b/>
        </w:rPr>
        <w:t xml:space="preserve">Regulatory Context:</w:t>
      </w:r>
      <w:r>
        <w:t xml:space="preserve"> </w:t>
      </w:r>
      <w:r>
        <w:t xml:space="preserve">Japanese Dental Association (JDA) and Japanese Orthodontic Society (JOS) Guidelines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efficacy, ethical standards, and operational compliance of a specific</w:t>
      </w:r>
      <w:r>
        <w:t xml:space="preserve"> </w:t>
      </w:r>
      <w:r>
        <w:rPr>
          <w:bCs/>
          <w:b/>
        </w:rPr>
        <w:t xml:space="preserve">Orthodontist</w:t>
      </w:r>
      <w:r>
        <w:t xml:space="preserve"> </w:t>
      </w:r>
      <w:r>
        <w:t xml:space="preserve">practicing within the metropolitan area of</w:t>
      </w:r>
      <w:r>
        <w:t xml:space="preserve"> </w:t>
      </w:r>
      <w:r>
        <w:rPr>
          <w:bCs/>
          <w:b/>
        </w:rPr>
        <w:t xml:space="preserve">Japan Osaka</w:t>
      </w:r>
      <w:r>
        <w:t xml:space="preserve">. The primary objective of this review is to ensure that the dental professional adheres to the rigorous standards set forth by the Japanese Orthodontic Society (JOS) and the Ministry of Health, Labour and Welfare. Given the high density of dental clinics in Osaka, maintaining distinct standards of excellence is paramount for patient safety and public trust.</w:t>
      </w:r>
    </w:p>
    <w:p>
      <w:pPr>
        <w:pStyle w:val="BodyText"/>
      </w:pPr>
      <w:r>
        <w:t xml:space="preserve">The review encompasses a detailed analysis of thirty (30) random patient cases, an inspection of the clinical facility located in Osaka, and an assessment of the practitioner's continuing education records. The findings indicate a generally high standard of care, with specific recommendations for improvement regarding digital workflow integration and cross-cultural communication protocols for international patients residing in Osaka.</w:t>
      </w:r>
    </w:p>
    <w:bookmarkEnd w:id="21"/>
    <w:bookmarkStart w:id="22" w:name="regulatory-and-professional-context"/>
    <w:p>
      <w:pPr>
        <w:pStyle w:val="Heading2"/>
      </w:pPr>
      <w:r>
        <w:t xml:space="preserve">2. Regulatory and Professional Context</w:t>
      </w:r>
    </w:p>
    <w:p>
      <w:pPr>
        <w:pStyle w:val="FirstParagraph"/>
      </w:pPr>
      <w:r>
        <w:t xml:space="preserve">The practice of orthodontics in</w:t>
      </w:r>
      <w:r>
        <w:t xml:space="preserve"> </w:t>
      </w:r>
      <w:r>
        <w:rPr>
          <w:bCs/>
          <w:b/>
        </w:rPr>
        <w:t xml:space="preserve">Japan Osaka</w:t>
      </w:r>
      <w:r>
        <w:t xml:space="preserve"> </w:t>
      </w:r>
      <w:r>
        <w:t xml:space="preserve">is governed by strict national regulations. Unlike some Western jurisdictions where "orthodontist" is a protected title requiring specialized residency, in Japan, any licensed dentist can legally perform orthodontic treatment. However, the title of "Orthodontist" in the context of this</w:t>
      </w:r>
      <w:r>
        <w:t xml:space="preserve"> </w:t>
      </w:r>
      <w:r>
        <w:rPr>
          <w:bCs/>
          <w:b/>
        </w:rPr>
        <w:t xml:space="preserve">Peer Review Report</w:t>
      </w:r>
      <w:r>
        <w:t xml:space="preserve"> </w:t>
      </w:r>
      <w:r>
        <w:t xml:space="preserve">refers specifically to a practitioner who has obtained the Specialist Certification in Orthodontics from the Japanese Orthodontic Society (JOS).</w:t>
      </w:r>
    </w:p>
    <w:p>
      <w:pPr>
        <w:pStyle w:val="BodyText"/>
      </w:pPr>
      <w:r>
        <w:t xml:space="preserve">This distinction is critical. The review assesses whether the practitioner operates at the level of a certified specialist, utilizing evidence-based treatment planning rather than generalist approaches. The competitive landscape in Osaka demands that practitioners not only meet the legal minimums but also align with the advanced technological and aesthetic expectations of the local population.</w:t>
      </w:r>
    </w:p>
    <w:bookmarkEnd w:id="22"/>
    <w:bookmarkStart w:id="26" w:name="clinical-competency-and-case-analysis"/>
    <w:p>
      <w:pPr>
        <w:pStyle w:val="Heading2"/>
      </w:pPr>
      <w:r>
        <w:t xml:space="preserve">3. Clinical Competency and Case Analysis</w:t>
      </w:r>
    </w:p>
    <w:p>
      <w:pPr>
        <w:pStyle w:val="FirstParagraph"/>
      </w:pPr>
      <w:r>
        <w:t xml:space="preserve">A retrospective audit of patient records was conducted to evaluate the diagnostic accuracy and treatment outcomes of the</w:t>
      </w:r>
      <w:r>
        <w:t xml:space="preserve"> </w:t>
      </w:r>
      <w:r>
        <w:rPr>
          <w:bCs/>
          <w:b/>
        </w:rPr>
        <w:t xml:space="preserve">Orthodontist</w:t>
      </w:r>
      <w:r>
        <w:t xml:space="preserve">. The cases reviewed included a mix of Class I, Class II, and Class III malocclusions, as well as complex cases involving orthognathic surgery coordination.</w:t>
      </w:r>
    </w:p>
    <w:bookmarkStart w:id="23" w:name="diagnostic-precision"/>
    <w:p>
      <w:pPr>
        <w:pStyle w:val="Heading3"/>
      </w:pPr>
      <w:r>
        <w:t xml:space="preserve">3.1 Diagnostic Precision</w:t>
      </w:r>
    </w:p>
    <w:p>
      <w:pPr>
        <w:pStyle w:val="FirstParagraph"/>
      </w:pPr>
      <w:r>
        <w:t xml:space="preserve">The practitioner demonstrated a thorough approach to diagnosis. All reviewed cases included comprehensive cephalometric analysis, panoramic radiographs, and intraoral scans. The utilization of 3D imaging technology is particularly notable, as it aligns with the modern standards expected in major Japanese cities like Osaka. The diagnostic records were well-organized, allowing for clear tracking of treatment progress.</w:t>
      </w:r>
    </w:p>
    <w:bookmarkEnd w:id="23"/>
    <w:bookmarkStart w:id="24" w:name="treatment-planning-and-execution"/>
    <w:p>
      <w:pPr>
        <w:pStyle w:val="Heading3"/>
      </w:pPr>
      <w:r>
        <w:t xml:space="preserve">3.2 Treatment Planning and Execution</w:t>
      </w:r>
    </w:p>
    <w:p>
      <w:pPr>
        <w:pStyle w:val="FirstParagraph"/>
      </w:pPr>
      <w:r>
        <w:t xml:space="preserve">Treatment plans were found to be logical and biologically sound. The</w:t>
      </w:r>
      <w:r>
        <w:t xml:space="preserve"> </w:t>
      </w:r>
      <w:r>
        <w:rPr>
          <w:bCs/>
          <w:b/>
        </w:rPr>
        <w:t xml:space="preserve">Orthodontist</w:t>
      </w:r>
      <w:r>
        <w:t xml:space="preserve"> </w:t>
      </w:r>
      <w:r>
        <w:t xml:space="preserve">showed a strong understanding of growth modification techniques for pediatric patients, which is a significant demographic in Osaka. The use of fixed appliances was appropriate, and the transition to retention phases was managed with care. However, the review noted a slight delay in the adjustment frequency for some adult patients, which may have extended treatment duration unnecessarily.</w:t>
      </w:r>
    </w:p>
    <w:bookmarkEnd w:id="24"/>
    <w:bookmarkStart w:id="25" w:name="aesthetic-outcomes"/>
    <w:p>
      <w:pPr>
        <w:pStyle w:val="Heading3"/>
      </w:pPr>
      <w:r>
        <w:t xml:space="preserve">3.3 Aesthetic Outcomes</w:t>
      </w:r>
    </w:p>
    <w:p>
      <w:pPr>
        <w:pStyle w:val="FirstParagraph"/>
      </w:pPr>
      <w:r>
        <w:t xml:space="preserve">Aesthetic results were rated highly. The practitioner pays close attention to the smile line and gingival symmetry, factors that are increasingly important to patients in urban Japan. The integration of clear aligner therapy for mild to moderate cases was handled competently, reflecting the growing demand for discreet orthodontic options in the region.</w:t>
      </w:r>
    </w:p>
    <w:bookmarkEnd w:id="25"/>
    <w:bookmarkEnd w:id="26"/>
    <w:bookmarkStart w:id="27" w:name="facility-standards-and-infection-control"/>
    <w:p>
      <w:pPr>
        <w:pStyle w:val="Heading2"/>
      </w:pPr>
      <w:r>
        <w:t xml:space="preserve">4. Facility Standards and Infection Control</w:t>
      </w:r>
    </w:p>
    <w:p>
      <w:pPr>
        <w:pStyle w:val="FirstParagraph"/>
      </w:pPr>
      <w:r>
        <w:t xml:space="preserve">The physical clinic in</w:t>
      </w:r>
      <w:r>
        <w:t xml:space="preserve"> </w:t>
      </w:r>
      <w:r>
        <w:rPr>
          <w:bCs/>
          <w:b/>
        </w:rPr>
        <w:t xml:space="preserve">Japan Osaka</w:t>
      </w:r>
      <w:r>
        <w:t xml:space="preserve"> </w:t>
      </w:r>
      <w:r>
        <w:t xml:space="preserve">was inspected for compliance with infection control protocols mandated by the Japanese government. The facility is clean, well-maintained, and equipped with modern sterilization units.</w:t>
      </w:r>
    </w:p>
    <w:p>
      <w:pPr>
        <w:numPr>
          <w:ilvl w:val="0"/>
          <w:numId w:val="1001"/>
        </w:numPr>
        <w:pStyle w:val="Compact"/>
      </w:pPr>
      <w:r>
        <w:rPr>
          <w:bCs/>
          <w:b/>
        </w:rPr>
        <w:t xml:space="preserve">Sterilization:</w:t>
      </w:r>
      <w:r>
        <w:t xml:space="preserve"> </w:t>
      </w:r>
      <w:r>
        <w:t xml:space="preserve">All handpieces and reusable instruments are sterilized using autoclaves with proper biological monitoring logs.</w:t>
      </w:r>
    </w:p>
    <w:p>
      <w:pPr>
        <w:numPr>
          <w:ilvl w:val="0"/>
          <w:numId w:val="1001"/>
        </w:numPr>
        <w:pStyle w:val="Compact"/>
      </w:pPr>
      <w:r>
        <w:rPr>
          <w:bCs/>
          <w:b/>
        </w:rPr>
        <w:t xml:space="preserve">Barriers:</w:t>
      </w:r>
      <w:r>
        <w:t xml:space="preserve"> </w:t>
      </w:r>
      <w:r>
        <w:t xml:space="preserve">Use of disposable barriers on dental chairs and light handles is consistent.</w:t>
      </w:r>
    </w:p>
    <w:p>
      <w:pPr>
        <w:numPr>
          <w:ilvl w:val="0"/>
          <w:numId w:val="1001"/>
        </w:numPr>
        <w:pStyle w:val="Compact"/>
      </w:pPr>
      <w:r>
        <w:rPr>
          <w:bCs/>
          <w:b/>
        </w:rPr>
        <w:t xml:space="preserve">Waste Management:</w:t>
      </w:r>
      <w:r>
        <w:t xml:space="preserve"> </w:t>
      </w:r>
      <w:r>
        <w:t xml:space="preserve">Sharps and medical waste are disposed of according to Osaka municipal regulations.</w:t>
      </w:r>
    </w:p>
    <w:p>
      <w:pPr>
        <w:pStyle w:val="FirstParagraph"/>
      </w:pPr>
      <w:r>
        <w:t xml:space="preserve">The environment is conducive to patient comfort, with a reception area that reflects the professional standards expected of a specialist</w:t>
      </w:r>
      <w:r>
        <w:t xml:space="preserve"> </w:t>
      </w:r>
      <w:r>
        <w:rPr>
          <w:bCs/>
          <w:b/>
        </w:rPr>
        <w:t xml:space="preserve">Orthodontist</w:t>
      </w:r>
      <w:r>
        <w:t xml:space="preserve">.</w:t>
      </w:r>
    </w:p>
    <w:bookmarkEnd w:id="27"/>
    <w:bookmarkStart w:id="28" w:name="patient-communication-and-ethics"/>
    <w:p>
      <w:pPr>
        <w:pStyle w:val="Heading2"/>
      </w:pPr>
      <w:r>
        <w:t xml:space="preserve">5. Patient Communication and Ethics</w:t>
      </w:r>
    </w:p>
    <w:p>
      <w:pPr>
        <w:pStyle w:val="FirstParagraph"/>
      </w:pPr>
      <w:r>
        <w:t xml:space="preserve">Effective communication is a cornerstone of successful orthodontic treatment. This</w:t>
      </w:r>
      <w:r>
        <w:t xml:space="preserve"> </w:t>
      </w:r>
      <w:r>
        <w:rPr>
          <w:bCs/>
          <w:b/>
        </w:rPr>
        <w:t xml:space="preserve">Peer Review Report</w:t>
      </w:r>
      <w:r>
        <w:t xml:space="preserve"> </w:t>
      </w:r>
      <w:r>
        <w:t xml:space="preserve">highlights the practitioner's ability to explain complex treatment plans to patients and their families. Informed consent forms are comprehensive and signed prior to the initiation of treatment.</w:t>
      </w:r>
    </w:p>
    <w:p>
      <w:pPr>
        <w:pStyle w:val="BodyText"/>
      </w:pPr>
      <w:r>
        <w:t xml:space="preserve">However, a specific area for improvement was identified regarding communication with non-Japanese residents. Osaka is a cosmopolitan city with a growing expatriate community. While the</w:t>
      </w:r>
      <w:r>
        <w:t xml:space="preserve"> </w:t>
      </w:r>
      <w:r>
        <w:rPr>
          <w:bCs/>
          <w:b/>
        </w:rPr>
        <w:t xml:space="preserve">Orthodontist</w:t>
      </w:r>
      <w:r>
        <w:t xml:space="preserve"> </w:t>
      </w:r>
      <w:r>
        <w:t xml:space="preserve">is proficient in Japanese, the availability of English-language consent forms and treatment explanations is limited. To enhance accessibility and ethical compliance, it is recommended that the clinic develop bilingual resources. This would ensure that all patients, regardless of language proficiency, fully understand the risks, benefits, and costs of their treatment.</w:t>
      </w:r>
    </w:p>
    <w:bookmarkEnd w:id="28"/>
    <w:bookmarkStart w:id="29" w:name="Xc59a07769715efa92d4be8049845ef801b5dca9"/>
    <w:p>
      <w:pPr>
        <w:pStyle w:val="Heading2"/>
      </w:pPr>
      <w:r>
        <w:t xml:space="preserve">6. Continuing Education and Professional Development</w:t>
      </w:r>
    </w:p>
    <w:p>
      <w:pPr>
        <w:pStyle w:val="FirstParagraph"/>
      </w:pPr>
      <w:r>
        <w:t xml:space="preserve">The practitioner maintains an active membership in the Japanese Orthodontic Society and regularly attends seminars and workshops. Records show participation in recent conferences focused on digital dentistry and airway-centered orthodontics. This commitment to lifelong learning is essential for maintaining the title of</w:t>
      </w:r>
      <w:r>
        <w:t xml:space="preserve"> </w:t>
      </w:r>
      <w:r>
        <w:rPr>
          <w:bCs/>
          <w:b/>
        </w:rPr>
        <w:t xml:space="preserve">Orthodontist</w:t>
      </w:r>
      <w:r>
        <w:t xml:space="preserve"> </w:t>
      </w:r>
      <w:r>
        <w:t xml:space="preserve">and ensuring that patients in</w:t>
      </w:r>
      <w:r>
        <w:t xml:space="preserve"> </w:t>
      </w:r>
      <w:r>
        <w:rPr>
          <w:bCs/>
          <w:b/>
        </w:rPr>
        <w:t xml:space="preserve">Japan Osaka</w:t>
      </w:r>
      <w:r>
        <w:t xml:space="preserve"> </w:t>
      </w:r>
      <w:r>
        <w:t xml:space="preserve">receive care based on the latest scientific evidence.</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w:t>
      </w:r>
    </w:p>
    <w:p>
      <w:pPr>
        <w:numPr>
          <w:ilvl w:val="0"/>
          <w:numId w:val="1002"/>
        </w:numPr>
        <w:pStyle w:val="Compact"/>
      </w:pPr>
      <w:r>
        <w:rPr>
          <w:bCs/>
          <w:b/>
        </w:rPr>
        <w:t xml:space="preserve">Enhance Digital Workflow:</w:t>
      </w:r>
      <w:r>
        <w:t xml:space="preserve"> </w:t>
      </w:r>
      <w:r>
        <w:t xml:space="preserve">Further integrate AI-driven treatment planning software to improve efficiency and predictability.</w:t>
      </w:r>
    </w:p>
    <w:p>
      <w:pPr>
        <w:numPr>
          <w:ilvl w:val="0"/>
          <w:numId w:val="1002"/>
        </w:numPr>
        <w:pStyle w:val="Compact"/>
      </w:pPr>
      <w:r>
        <w:rPr>
          <w:bCs/>
          <w:b/>
        </w:rPr>
        <w:t xml:space="preserve">Improve Appointment Scheduling:</w:t>
      </w:r>
      <w:r>
        <w:t xml:space="preserve"> </w:t>
      </w:r>
      <w:r>
        <w:t xml:space="preserve">Reduce intervals between adjustment appointments for adult patients to optimize treatment time.</w:t>
      </w:r>
    </w:p>
    <w:p>
      <w:pPr>
        <w:numPr>
          <w:ilvl w:val="0"/>
          <w:numId w:val="1002"/>
        </w:numPr>
        <w:pStyle w:val="Compact"/>
      </w:pPr>
      <w:r>
        <w:rPr>
          <w:bCs/>
          <w:b/>
        </w:rPr>
        <w:t xml:space="preserve">Develop Multilingual Resources:</w:t>
      </w:r>
      <w:r>
        <w:t xml:space="preserve"> </w:t>
      </w:r>
      <w:r>
        <w:t xml:space="preserve">Create English and other language versions of consent forms and patient education materials to better serve the diverse population of Osaka.</w:t>
      </w:r>
    </w:p>
    <w:p>
      <w:pPr>
        <w:numPr>
          <w:ilvl w:val="0"/>
          <w:numId w:val="1002"/>
        </w:numPr>
        <w:pStyle w:val="Compact"/>
      </w:pPr>
      <w:r>
        <w:rPr>
          <w:bCs/>
          <w:b/>
        </w:rPr>
        <w:t xml:space="preserve">Document Retention:</w:t>
      </w:r>
      <w:r>
        <w:t xml:space="preserve"> </w:t>
      </w:r>
      <w:r>
        <w:t xml:space="preserve">Ensure that all digital records are backed up securely in compliance with Japanese data protection laws.</w:t>
      </w:r>
    </w:p>
    <w:bookmarkEnd w:id="30"/>
    <w:bookmarkStart w:id="31" w:name="conclusion"/>
    <w:p>
      <w:pPr>
        <w:pStyle w:val="Heading2"/>
      </w:pPr>
      <w:r>
        <w:t xml:space="preserve">8. Conclusion</w:t>
      </w:r>
    </w:p>
    <w:p>
      <w:pPr>
        <w:pStyle w:val="FirstParagraph"/>
      </w:pPr>
      <w:r>
        <w:t xml:space="preserve">In conclusion, the</w:t>
      </w:r>
      <w:r>
        <w:t xml:space="preserve"> </w:t>
      </w:r>
      <w:r>
        <w:rPr>
          <w:bCs/>
          <w:b/>
        </w:rPr>
        <w:t xml:space="preserve">Orthodontist</w:t>
      </w:r>
      <w:r>
        <w:t xml:space="preserve"> </w:t>
      </w:r>
      <w:r>
        <w:t xml:space="preserve">under review demonstrates a high level of clinical competence, ethical practice, and adherence to infection control standards. The practice is well-positioned within the competitive dental landscape of</w:t>
      </w:r>
      <w:r>
        <w:t xml:space="preserve"> </w:t>
      </w:r>
      <w:r>
        <w:rPr>
          <w:bCs/>
          <w:b/>
        </w:rPr>
        <w:t xml:space="preserve">Japan Osaka</w:t>
      </w:r>
      <w:r>
        <w:t xml:space="preserve">. By implementing the recommendations outlined in this</w:t>
      </w:r>
      <w:r>
        <w:t xml:space="preserve"> </w:t>
      </w:r>
      <w:r>
        <w:rPr>
          <w:bCs/>
          <w:b/>
        </w:rPr>
        <w:t xml:space="preserve">Peer Review Report</w:t>
      </w:r>
      <w:r>
        <w:t xml:space="preserve">, particularly regarding patient communication and digital integration, the practitioner can further elevate the quality of care provided to the community. The review confirms that the practitioner meets the professional standards required for the continued practice of orthodontics in this region.</w:t>
      </w:r>
    </w:p>
    <w:p>
      <w:pPr>
        <w:pStyle w:val="BodyText"/>
      </w:pPr>
      <w:r>
        <w:rPr>
          <w:bCs/>
          <w:b/>
        </w:rPr>
        <w:t xml:space="preserve">Report Prepared By:</w:t>
      </w:r>
    </w:p>
    <w:p>
      <w:pPr>
        <w:pStyle w:val="BodyText"/>
      </w:pPr>
      <w:r>
        <w:t xml:space="preserve">Dr. Kenji Tanaka, DDS, PhD</w:t>
      </w:r>
      <w:r>
        <w:br/>
      </w:r>
      <w:r>
        <w:t xml:space="preserve">Senior Reviewer, Japanese Orthodontic Society</w:t>
      </w:r>
      <w:r>
        <w:br/>
      </w:r>
      <w:r>
        <w:t xml:space="preserve">Osaka Regional Board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Japan Osaka</dc:title>
  <dc:creator/>
  <dc:language>en</dc:language>
  <cp:keywords/>
  <dcterms:created xsi:type="dcterms:W3CDTF">2026-10-10T07:08:09Z</dcterms:created>
  <dcterms:modified xsi:type="dcterms:W3CDTF">2026-10-10T07:08:09Z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