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Orthodontic Clinical Practice and Standards</w:t>
      </w:r>
    </w:p>
    <w:p>
      <w:pPr>
        <w:pStyle w:val="BodyText"/>
      </w:pPr>
      <w:r>
        <w:rPr>
          <w:bCs/>
          <w:b/>
        </w:rPr>
        <w:t xml:space="preserve">Location:</w:t>
      </w:r>
      <w:r>
        <w:t xml:space="preserve"> </w:t>
      </w:r>
      <w:r>
        <w:t xml:space="preserve">Japan Tokyo</w:t>
      </w:r>
    </w:p>
    <w:bookmarkEnd w:id="20"/>
    <w:p>
      <w:pPr>
        <w:pStyle w:val="BodyText"/>
      </w:pPr>
      <w:r>
        <w:t xml:space="preserve">Report ID:</w:t>
      </w:r>
      <w:r>
        <w:t xml:space="preserve"> </w:t>
      </w:r>
      <w:r>
        <w:t xml:space="preserve">PR-2023-TKY-892</w:t>
      </w:r>
    </w:p>
    <w:p>
      <w:pPr>
        <w:pStyle w:val="BodyText"/>
      </w:pPr>
      <w:r>
        <w:t xml:space="preserve">Date of Review:</w:t>
      </w:r>
      <w:r>
        <w:t xml:space="preserve"> </w:t>
      </w:r>
      <w:r>
        <w:t xml:space="preserve">October 24, 2023</w:t>
      </w:r>
    </w:p>
    <w:p>
      <w:pPr>
        <w:pStyle w:val="BodyText"/>
      </w:pPr>
      <w:r>
        <w:t xml:space="preserve">Reviewing Body:</w:t>
      </w:r>
      <w:r>
        <w:t xml:space="preserve"> </w:t>
      </w:r>
      <w:r>
        <w:t xml:space="preserve">Tokyo Metropolitan Orthodontic Quality Assurance Committee</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 comprehensive audit conducted on the clinical operations, patient care protocols, and technical standards of a specialized</w:t>
      </w:r>
      <w:r>
        <w:t xml:space="preserve"> </w:t>
      </w:r>
      <w:r>
        <w:rPr>
          <w:bCs/>
          <w:b/>
        </w:rPr>
        <w:t xml:space="preserve">Orthodontist</w:t>
      </w:r>
      <w:r>
        <w:t xml:space="preserve"> </w:t>
      </w:r>
      <w:r>
        <w:t xml:space="preserve">practice located in the Minato ward of</w:t>
      </w:r>
      <w:r>
        <w:t xml:space="preserve"> </w:t>
      </w:r>
      <w:r>
        <w:rPr>
          <w:bCs/>
          <w:b/>
        </w:rPr>
        <w:t xml:space="preserve">Japan Tokyo</w:t>
      </w:r>
      <w:r>
        <w:t xml:space="preserve">. The primary objective of this review was to assess compliance with the rigorous standards set forth by the Japanese Orthodontic Society (JOS) and to evaluate the integration of modern digital technologies within the clinic.</w:t>
      </w:r>
    </w:p>
    <w:p>
      <w:pPr>
        <w:pStyle w:val="BodyText"/>
      </w:pPr>
      <w:r>
        <w:t xml:space="preserve">The review process involved a multidisciplinary panel of senior orthodontists and healthcare administrators. The evaluation focused on diagnostic accuracy, treatment planning efficacy, infection control measures, and patient communication strategies. Overall, the practice demonstrates a high level of proficiency, particularly in the application of clear aligner therapy and fixed appliance mechanics. However, specific areas regarding data management and long-term retention protocols require attention to meet the evolving expectations of the Tokyo metropolitan healthcare sector.</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six-month retrospective analysis of patient records, a live observation of clinical procedures, and interviews with both staff and patients. The review was conducted in strict adherence to the privacy laws of Japan, ensuring that all patient data was anonymized during the assessment.</w:t>
      </w:r>
    </w:p>
    <w:p>
      <w:pPr>
        <w:pStyle w:val="BodyText"/>
      </w:pPr>
      <w:r>
        <w:t xml:space="preserve">The methodology utilized a weighted scoring system across five key domains:</w:t>
      </w:r>
    </w:p>
    <w:p>
      <w:pPr>
        <w:numPr>
          <w:ilvl w:val="0"/>
          <w:numId w:val="1001"/>
        </w:numPr>
        <w:pStyle w:val="Compact"/>
      </w:pPr>
      <w:r>
        <w:rPr>
          <w:bCs/>
          <w:b/>
        </w:rPr>
        <w:t xml:space="preserve">Clinical Competence:</w:t>
      </w:r>
      <w:r>
        <w:t xml:space="preserve"> </w:t>
      </w:r>
      <w:r>
        <w:t xml:space="preserve">Assessment of the</w:t>
      </w:r>
      <w:r>
        <w:t xml:space="preserve"> </w:t>
      </w:r>
      <w:r>
        <w:rPr>
          <w:bCs/>
          <w:b/>
        </w:rPr>
        <w:t xml:space="preserve">Orthodontist</w:t>
      </w:r>
      <w:r>
        <w:t xml:space="preserve">'s technical skills in biomechanics and occlusion management.</w:t>
      </w:r>
    </w:p>
    <w:p>
      <w:pPr>
        <w:numPr>
          <w:ilvl w:val="0"/>
          <w:numId w:val="1001"/>
        </w:numPr>
        <w:pStyle w:val="Compact"/>
      </w:pPr>
      <w:r>
        <w:rPr>
          <w:bCs/>
          <w:b/>
        </w:rPr>
        <w:t xml:space="preserve">Digital Integration:</w:t>
      </w:r>
      <w:r>
        <w:t xml:space="preserve"> </w:t>
      </w:r>
      <w:r>
        <w:t xml:space="preserve">Evaluation of the use of intraoral scanners, CBCT imaging, and AI-driven treatment simulation.</w:t>
      </w:r>
    </w:p>
    <w:p>
      <w:pPr>
        <w:numPr>
          <w:ilvl w:val="0"/>
          <w:numId w:val="1001"/>
        </w:numPr>
        <w:pStyle w:val="Compact"/>
      </w:pPr>
      <w:r>
        <w:rPr>
          <w:bCs/>
          <w:b/>
        </w:rPr>
        <w:t xml:space="preserve">Infection Control:</w:t>
      </w:r>
      <w:r>
        <w:t xml:space="preserve"> </w:t>
      </w:r>
      <w:r>
        <w:t xml:space="preserve">Verification of sterilization protocols in line with Japanese Ministry of Health, Labour and Welfare guidelines.</w:t>
      </w:r>
    </w:p>
    <w:p>
      <w:pPr>
        <w:numPr>
          <w:ilvl w:val="0"/>
          <w:numId w:val="1001"/>
        </w:numPr>
        <w:pStyle w:val="Compact"/>
      </w:pPr>
      <w:r>
        <w:rPr>
          <w:bCs/>
          <w:b/>
        </w:rPr>
        <w:t xml:space="preserve">Patient Experience:</w:t>
      </w:r>
      <w:r>
        <w:t xml:space="preserve"> </w:t>
      </w:r>
      <w:r>
        <w:t xml:space="preserve">Analysis of communication clarity, particularly for non-Japanese residents in</w:t>
      </w:r>
      <w:r>
        <w:t xml:space="preserve"> </w:t>
      </w:r>
      <w:r>
        <w:rPr>
          <w:bCs/>
          <w:b/>
        </w:rPr>
        <w:t xml:space="preserve">Japan Tokyo</w:t>
      </w:r>
      <w:r>
        <w:t xml:space="preserve">.</w:t>
      </w:r>
    </w:p>
    <w:p>
      <w:pPr>
        <w:numPr>
          <w:ilvl w:val="0"/>
          <w:numId w:val="1001"/>
        </w:numPr>
        <w:pStyle w:val="Compact"/>
      </w:pPr>
      <w:r>
        <w:rPr>
          <w:bCs/>
          <w:b/>
        </w:rPr>
        <w:t xml:space="preserve">Administrative Compliance:</w:t>
      </w:r>
      <w:r>
        <w:t xml:space="preserve"> </w:t>
      </w:r>
      <w:r>
        <w:t xml:space="preserve">Review of record-keeping and billing transparency.</w:t>
      </w:r>
    </w:p>
    <w:bookmarkEnd w:id="22"/>
    <w:bookmarkStart w:id="27" w:name="detailed-findings"/>
    <w:p>
      <w:pPr>
        <w:pStyle w:val="Heading2"/>
      </w:pPr>
      <w:r>
        <w:t xml:space="preserve">3. Detailed Findings</w:t>
      </w:r>
    </w:p>
    <w:bookmarkStart w:id="23" w:name="Xd1eef326cf1749cf1e1c903dab9f3a7825d72e4"/>
    <w:p>
      <w:pPr>
        <w:pStyle w:val="Heading3"/>
      </w:pPr>
      <w:r>
        <w:t xml:space="preserve">3.1 Clinical Competence and Treatment Outcomes</w:t>
      </w:r>
    </w:p>
    <w:p>
      <w:pPr>
        <w:pStyle w:val="FirstParagraph"/>
      </w:pPr>
      <w:r>
        <w:t xml:space="preserve">The</w:t>
      </w:r>
      <w:r>
        <w:t xml:space="preserve"> </w:t>
      </w:r>
      <w:r>
        <w:rPr>
          <w:bCs/>
          <w:b/>
        </w:rPr>
        <w:t xml:space="preserve">Orthodontist</w:t>
      </w:r>
      <w:r>
        <w:t xml:space="preserve"> </w:t>
      </w:r>
      <w:r>
        <w:t xml:space="preserve">under review exhibits exceptional clinical judgment. The analysis of 150 completed cases revealed a high success rate in achieving stable occlusion. The practice shows particular strength in managing complex malocclusions common in the Japanese population, such as Class II division 1 malocclusions and crowding associated with small jaw bases.</w:t>
      </w:r>
    </w:p>
    <w:p>
      <w:pPr>
        <w:pStyle w:val="BodyText"/>
      </w:pPr>
      <w:r>
        <w:t xml:space="preserve">The use of precise anchorage control techniques, including temporary anchorage devices (TADs), was observed to be well-executed. The peer reviewers noted that the treatment plans were biologically sound, minimizing root resorption risks and ensuring periodontal health throughout the duration of therapy.</w:t>
      </w:r>
    </w:p>
    <w:bookmarkEnd w:id="23"/>
    <w:bookmarkStart w:id="24" w:name="technological-advancement-in-japan-tokyo"/>
    <w:p>
      <w:pPr>
        <w:pStyle w:val="Heading3"/>
      </w:pPr>
      <w:r>
        <w:t xml:space="preserve">3.2 Technological Advancement in Japan Tokyo</w:t>
      </w:r>
    </w:p>
    <w:p>
      <w:pPr>
        <w:pStyle w:val="FirstParagraph"/>
      </w:pPr>
      <w:r>
        <w:t xml:space="preserve">As a leading global hub for medical technology,</w:t>
      </w:r>
      <w:r>
        <w:t xml:space="preserve"> </w:t>
      </w:r>
      <w:r>
        <w:rPr>
          <w:bCs/>
          <w:b/>
        </w:rPr>
        <w:t xml:space="preserve">Japan Tokyo</w:t>
      </w:r>
      <w:r>
        <w:t xml:space="preserve"> </w:t>
      </w:r>
      <w:r>
        <w:t xml:space="preserve">sets a high bar for digital adoption. This practice aligns well with these expectations. The transition from traditional alginate impressions to high-resolution intraoral scanning has significantly improved patient comfort and diagnostic accuracy.</w:t>
      </w:r>
    </w:p>
    <w:p>
      <w:pPr>
        <w:pStyle w:val="BodyText"/>
      </w:pPr>
      <w:r>
        <w:t xml:space="preserve">Furthermore, the integration of 3D printing for custom aligners and bite plates demonstrates a commitment to efficiency. The</w:t>
      </w:r>
      <w:r>
        <w:t xml:space="preserve"> </w:t>
      </w:r>
      <w:r>
        <w:rPr>
          <w:bCs/>
          <w:b/>
        </w:rPr>
        <w:t xml:space="preserve">Orthodontist</w:t>
      </w:r>
      <w:r>
        <w:t xml:space="preserve"> </w:t>
      </w:r>
      <w:r>
        <w:t xml:space="preserve">effectively utilizes digital smile design (DSD) to visualize outcomes for patients, which is a critical factor in patient satisfaction in the competitive Tokyo market.</w:t>
      </w:r>
    </w:p>
    <w:bookmarkEnd w:id="24"/>
    <w:bookmarkStart w:id="25" w:name="infection-control-and-safety"/>
    <w:p>
      <w:pPr>
        <w:pStyle w:val="Heading3"/>
      </w:pPr>
      <w:r>
        <w:t xml:space="preserve">3.3 Infection Control and Safety</w:t>
      </w:r>
    </w:p>
    <w:p>
      <w:pPr>
        <w:pStyle w:val="FirstParagraph"/>
      </w:pPr>
      <w:r>
        <w:t xml:space="preserve">Infection control protocols were found to be exemplary. The clinic adheres strictly to the "Standard Precautions" mandated by Japanese health authorities. The sterilization cycle logs were complete and verifiable. The separation of clean and contaminated zones within the clinic layout is logical and effective, reducing the risk of cross-contamination.</w:t>
      </w:r>
    </w:p>
    <w:bookmarkEnd w:id="25"/>
    <w:bookmarkStart w:id="26" w:name="Xfa51400a924de4646f713c9fb56666fbaadd6ca"/>
    <w:p>
      <w:pPr>
        <w:pStyle w:val="Heading3"/>
      </w:pPr>
      <w:r>
        <w:t xml:space="preserve">3.4 Patient Communication and Cultural Sensitivity</w:t>
      </w:r>
    </w:p>
    <w:p>
      <w:pPr>
        <w:pStyle w:val="FirstParagraph"/>
      </w:pPr>
      <w:r>
        <w:t xml:space="preserve">A unique aspect of practicing in</w:t>
      </w:r>
      <w:r>
        <w:t xml:space="preserve"> </w:t>
      </w:r>
      <w:r>
        <w:rPr>
          <w:bCs/>
          <w:b/>
        </w:rPr>
        <w:t xml:space="preserve">Japan Tokyo</w:t>
      </w:r>
      <w:r>
        <w:t xml:space="preserve"> </w:t>
      </w:r>
      <w:r>
        <w:t xml:space="preserve">is the diverse demographic, including a growing number of expatriates and international students. The</w:t>
      </w:r>
      <w:r>
        <w:t xml:space="preserve"> </w:t>
      </w:r>
      <w:r>
        <w:rPr>
          <w:bCs/>
          <w:b/>
        </w:rPr>
        <w:t xml:space="preserve">Orthodontist</w:t>
      </w:r>
      <w:r>
        <w:t xml:space="preserve"> </w:t>
      </w:r>
      <w:r>
        <w:t xml:space="preserve">and staff demonstrate commendable cultural sensitivity. While Japanese is the primary language, the availability of English-language brochures and the use of visual aids during consultations bridge the communication gap effectively.</w:t>
      </w:r>
    </w:p>
    <w:p>
      <w:pPr>
        <w:pStyle w:val="BodyText"/>
      </w:pPr>
      <w:r>
        <w:t xml:space="preserve">However, the peer review panel noted that while English support is present, it is limited to basic communication. For complex informed consent discussions involving surgical orthodontics, a professional medical interpreter service is recommended to ensure full comprehension and legal compliance.</w:t>
      </w:r>
    </w:p>
    <w:bookmarkEnd w:id="26"/>
    <w:bookmarkEnd w:id="27"/>
    <w:bookmarkStart w:id="28" w:name="scoring-summary"/>
    <w:p>
      <w:pPr>
        <w:pStyle w:val="Heading2"/>
      </w:pPr>
      <w:r>
        <w:t xml:space="preserve">4. Scoring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Score (out of 10)</w:t>
            </w:r>
          </w:p>
        </w:tc>
        <w:tc>
          <w:tcPr/>
          <w:p>
            <w:pPr>
              <w:pStyle w:val="Compact"/>
              <w:jc w:val="left"/>
            </w:pPr>
            <w:r>
              <w:t xml:space="preserve">Rating</w:t>
            </w:r>
          </w:p>
        </w:tc>
      </w:tr>
      <w:tr>
        <w:tc>
          <w:tcPr/>
          <w:p>
            <w:pPr>
              <w:pStyle w:val="Compact"/>
              <w:jc w:val="left"/>
            </w:pPr>
            <w:r>
              <w:t xml:space="preserve">Clinical Competence</w:t>
            </w:r>
          </w:p>
        </w:tc>
        <w:tc>
          <w:tcPr/>
          <w:p>
            <w:pPr>
              <w:pStyle w:val="Compact"/>
              <w:jc w:val="left"/>
            </w:pPr>
            <w:r>
              <w:t xml:space="preserve">9.5</w:t>
            </w:r>
          </w:p>
        </w:tc>
        <w:tc>
          <w:tcPr/>
          <w:p>
            <w:pPr>
              <w:pStyle w:val="Compact"/>
              <w:jc w:val="left"/>
            </w:pPr>
            <w:r>
              <w:t xml:space="preserve">Excellent</w:t>
            </w:r>
          </w:p>
        </w:tc>
      </w:tr>
      <w:tr>
        <w:tc>
          <w:tcPr/>
          <w:p>
            <w:pPr>
              <w:pStyle w:val="Compact"/>
              <w:jc w:val="left"/>
            </w:pPr>
            <w:r>
              <w:t xml:space="preserve">Digital Integration</w:t>
            </w:r>
          </w:p>
        </w:tc>
        <w:tc>
          <w:tcPr/>
          <w:p>
            <w:pPr>
              <w:pStyle w:val="Compact"/>
              <w:jc w:val="left"/>
            </w:pPr>
            <w:r>
              <w:t xml:space="preserve">9.0</w:t>
            </w:r>
          </w:p>
        </w:tc>
        <w:tc>
          <w:tcPr/>
          <w:p>
            <w:pPr>
              <w:pStyle w:val="Compact"/>
              <w:jc w:val="left"/>
            </w:pPr>
            <w:r>
              <w:t xml:space="preserve">Excellent</w:t>
            </w:r>
          </w:p>
        </w:tc>
      </w:tr>
      <w:tr>
        <w:tc>
          <w:tcPr/>
          <w:p>
            <w:pPr>
              <w:pStyle w:val="Compact"/>
              <w:jc w:val="left"/>
            </w:pPr>
            <w:r>
              <w:t xml:space="preserve">Infection Control</w:t>
            </w:r>
          </w:p>
        </w:tc>
        <w:tc>
          <w:tcPr/>
          <w:p>
            <w:pPr>
              <w:pStyle w:val="Compact"/>
              <w:jc w:val="left"/>
            </w:pPr>
            <w:r>
              <w:t xml:space="preserve">9.8</w:t>
            </w:r>
          </w:p>
        </w:tc>
        <w:tc>
          <w:tcPr/>
          <w:p>
            <w:pPr>
              <w:pStyle w:val="Compact"/>
              <w:jc w:val="left"/>
            </w:pPr>
            <w:r>
              <w:t xml:space="preserve">Excellent</w:t>
            </w:r>
          </w:p>
        </w:tc>
      </w:tr>
      <w:tr>
        <w:tc>
          <w:tcPr/>
          <w:p>
            <w:pPr>
              <w:pStyle w:val="Compact"/>
              <w:jc w:val="left"/>
            </w:pPr>
            <w:r>
              <w:t xml:space="preserve">Patient Communication</w:t>
            </w:r>
          </w:p>
        </w:tc>
        <w:tc>
          <w:tcPr/>
          <w:p>
            <w:pPr>
              <w:pStyle w:val="Compact"/>
              <w:jc w:val="left"/>
            </w:pPr>
            <w:r>
              <w:t xml:space="preserve">7.5</w:t>
            </w:r>
          </w:p>
        </w:tc>
        <w:tc>
          <w:tcPr/>
          <w:p>
            <w:pPr>
              <w:pStyle w:val="Compact"/>
              <w:jc w:val="left"/>
            </w:pPr>
            <w:r>
              <w:t xml:space="preserve">Good</w:t>
            </w:r>
          </w:p>
        </w:tc>
      </w:tr>
      <w:tr>
        <w:tc>
          <w:tcPr/>
          <w:p>
            <w:pPr>
              <w:pStyle w:val="Compact"/>
              <w:jc w:val="left"/>
            </w:pPr>
            <w:r>
              <w:t xml:space="preserve">Administrative Compliance</w:t>
            </w:r>
          </w:p>
        </w:tc>
        <w:tc>
          <w:tcPr/>
          <w:p>
            <w:pPr>
              <w:pStyle w:val="Compact"/>
              <w:jc w:val="left"/>
            </w:pPr>
            <w:r>
              <w:t xml:space="preserve">8.0</w:t>
            </w:r>
          </w:p>
        </w:tc>
        <w:tc>
          <w:tcPr/>
          <w:p>
            <w:pPr>
              <w:pStyle w:val="Compact"/>
              <w:jc w:val="left"/>
            </w:pPr>
            <w:r>
              <w:t xml:space="preserve">Good</w:t>
            </w:r>
          </w:p>
        </w:tc>
      </w:tr>
      <w:tr>
        <w:tc>
          <w:tcPr/>
          <w:p>
            <w:pPr>
              <w:pStyle w:val="Compact"/>
              <w:jc w:val="left"/>
            </w:pPr>
            <w:r>
              <w:rPr>
                <w:bCs/>
                <w:b/>
              </w:rPr>
              <w:t xml:space="preserve">Overall Score</w:t>
            </w:r>
          </w:p>
        </w:tc>
        <w:tc>
          <w:tcPr/>
          <w:p>
            <w:pPr>
              <w:pStyle w:val="Compact"/>
              <w:jc w:val="left"/>
            </w:pPr>
            <w:r>
              <w:rPr>
                <w:bCs/>
                <w:b/>
              </w:rPr>
              <w:t xml:space="preserve">8.76</w:t>
            </w:r>
          </w:p>
        </w:tc>
        <w:tc>
          <w:tcPr/>
          <w:p>
            <w:pPr>
              <w:pStyle w:val="Compact"/>
              <w:jc w:val="left"/>
            </w:pPr>
            <w:r>
              <w:rPr>
                <w:bCs/>
                <w:b/>
              </w:rPr>
              <w:t xml:space="preserve">Excellent</w:t>
            </w:r>
          </w:p>
        </w:tc>
      </w:tr>
    </w:tbl>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quality of care provided by this</w:t>
      </w:r>
      <w:r>
        <w:t xml:space="preserve"> </w:t>
      </w:r>
      <w:r>
        <w:rPr>
          <w:bCs/>
          <w:b/>
        </w:rPr>
        <w:t xml:space="preserve">Orthodontist</w:t>
      </w:r>
      <w:r>
        <w:t xml:space="preserve"> </w:t>
      </w:r>
      <w:r>
        <w:t xml:space="preserve">in</w:t>
      </w:r>
      <w:r>
        <w:t xml:space="preserve"> </w:t>
      </w:r>
      <w:r>
        <w:rPr>
          <w:bCs/>
          <w:b/>
        </w:rPr>
        <w:t xml:space="preserve">Japan Tokyo</w:t>
      </w:r>
      <w:r>
        <w:t xml:space="preserve">:</w:t>
      </w:r>
    </w:p>
    <w:p>
      <w:pPr>
        <w:numPr>
          <w:ilvl w:val="0"/>
          <w:numId w:val="1002"/>
        </w:numPr>
        <w:pStyle w:val="Compact"/>
      </w:pPr>
      <w:r>
        <w:rPr>
          <w:bCs/>
          <w:b/>
        </w:rPr>
        <w:t xml:space="preserve">Enhance Multilingual Support:</w:t>
      </w:r>
      <w:r>
        <w:t xml:space="preserve"> </w:t>
      </w:r>
      <w:r>
        <w:t xml:space="preserve">Establish a formal partnership with a medical interpretation service to assist with complex cases involving non-Japanese speaking patients.</w:t>
      </w:r>
    </w:p>
    <w:p>
      <w:pPr>
        <w:numPr>
          <w:ilvl w:val="0"/>
          <w:numId w:val="1002"/>
        </w:numPr>
        <w:pStyle w:val="Compact"/>
      </w:pPr>
      <w:r>
        <w:rPr>
          <w:bCs/>
          <w:b/>
        </w:rPr>
        <w:t xml:space="preserve">Retention Protocol Standardization:</w:t>
      </w:r>
      <w:r>
        <w:t xml:space="preserve"> </w:t>
      </w:r>
      <w:r>
        <w:t xml:space="preserve">Develop a more rigorous long-term retention follow-up schedule, as relapse rates can be higher in adult patients common in the Tokyo demographic.</w:t>
      </w:r>
    </w:p>
    <w:p>
      <w:pPr>
        <w:numPr>
          <w:ilvl w:val="0"/>
          <w:numId w:val="1002"/>
        </w:numPr>
        <w:pStyle w:val="Compact"/>
      </w:pPr>
      <w:r>
        <w:rPr>
          <w:bCs/>
          <w:b/>
        </w:rPr>
        <w:t xml:space="preserve">Data Security Upgrade:</w:t>
      </w:r>
      <w:r>
        <w:t xml:space="preserve"> </w:t>
      </w:r>
      <w:r>
        <w:t xml:space="preserve">Implement advanced cybersecurity measures to protect digital patient records, ensuring compliance with Japan's Act on the Protection of Personal Information (APPI).</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 evaluated</w:t>
      </w:r>
      <w:r>
        <w:t xml:space="preserve"> </w:t>
      </w:r>
      <w:r>
        <w:rPr>
          <w:bCs/>
          <w:b/>
        </w:rPr>
        <w:t xml:space="preserve">Orthodontist</w:t>
      </w:r>
      <w:r>
        <w:t xml:space="preserve"> </w:t>
      </w:r>
      <w:r>
        <w:t xml:space="preserve">practice in</w:t>
      </w:r>
      <w:r>
        <w:t xml:space="preserve"> </w:t>
      </w:r>
      <w:r>
        <w:rPr>
          <w:bCs/>
          <w:b/>
        </w:rPr>
        <w:t xml:space="preserve">Japan Tokyo</w:t>
      </w:r>
      <w:r>
        <w:t xml:space="preserve"> </w:t>
      </w:r>
      <w:r>
        <w:t xml:space="preserve">operates at a level of excellence that meets and often exceeds national standards. The combination of technical skill, technological adoption, and strict hygiene protocols makes this practice a model for orthodontic care in the region. By addressing the minor recommendations regarding communication and data security, the practice will be well-positioned to serve the diverse and demanding population of Tokyo for years to come.</w:t>
      </w:r>
    </w:p>
    <w:p>
      <w:pPr>
        <w:pStyle w:val="BodyText"/>
      </w:pPr>
      <w:r>
        <w:rPr>
          <w:bCs/>
          <w:b/>
        </w:rPr>
        <w:t xml:space="preserve">Peer Review Report</w:t>
      </w:r>
      <w:r>
        <w:t xml:space="preserve"> </w:t>
      </w:r>
      <w:r>
        <w:t xml:space="preserve">| Tokyo Metropolitan Orthodontic Quality Assurance Committee</w:t>
      </w:r>
      <w:r>
        <w:br/>
      </w:r>
      <w:r>
        <w:t xml:space="preserve">This document is confidential and intended solely for the use of the recipient.</w:t>
      </w:r>
      <w:r>
        <w:br/>
      </w:r>
      <w:r>
        <w:t xml:space="preserve">© 2023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Japan Tokyo</dc:title>
  <dc:creator/>
  <dc:language>en</dc:language>
  <cp:keywords/>
  <dcterms:created xsi:type="dcterms:W3CDTF">2026-10-10T02:45:18Z</dcterms:created>
  <dcterms:modified xsi:type="dcterms:W3CDTF">2026-10-10T02:45:18Z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