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Orthodontic</w:t>
      </w:r>
      <w:r>
        <w:t xml:space="preserve"> </w:t>
      </w:r>
      <w:r>
        <w:t xml:space="preserve">Practice</w:t>
      </w:r>
      <w:r>
        <w:t xml:space="preserve"> </w:t>
      </w:r>
      <w:r>
        <w:t xml:space="preserve">Standards</w:t>
      </w:r>
      <w:r>
        <w:t xml:space="preserve"> </w:t>
      </w:r>
      <w:r>
        <w:t xml:space="preserve">in</w:t>
      </w:r>
      <w:r>
        <w:t xml:space="preserve"> </w:t>
      </w:r>
      <w:r>
        <w:t xml:space="preserve">Kuala</w:t>
      </w:r>
      <w:r>
        <w:t xml:space="preserve"> </w:t>
      </w:r>
      <w:r>
        <w:t xml:space="preserve">Lumpur</w:t>
      </w:r>
    </w:p>
    <w:bookmarkStart w:id="20" w:name="peer-review-report"/>
    <w:p>
      <w:pPr>
        <w:pStyle w:val="Heading1"/>
      </w:pPr>
      <w:r>
        <w:t xml:space="preserve">Peer Review Report</w:t>
      </w:r>
    </w:p>
    <w:p>
      <w:pPr>
        <w:pStyle w:val="FirstParagraph"/>
      </w:pPr>
      <w:r>
        <w:t xml:space="preserve">Comprehensive Clinical Audit and Practice Evaluation</w:t>
      </w:r>
    </w:p>
    <w:bookmarkEnd w:id="20"/>
    <w:p>
      <w:pPr>
        <w:pStyle w:val="BodyText"/>
      </w:pPr>
      <w:r>
        <w:rPr>
          <w:bCs/>
          <w:b/>
        </w:rPr>
        <w:t xml:space="preserve">Subject Specialty:</w:t>
      </w:r>
      <w:r>
        <w:t xml:space="preserve"> </w:t>
      </w:r>
      <w:r>
        <w:t xml:space="preserve">Orthodontics</w:t>
      </w:r>
    </w:p>
    <w:p>
      <w:pPr>
        <w:pStyle w:val="BodyText"/>
      </w:pPr>
      <w:r>
        <w:rPr>
          <w:bCs/>
          <w:b/>
        </w:rPr>
        <w:t xml:space="preserve">Location of Practice:</w:t>
      </w:r>
      <w:r>
        <w:t xml:space="preserve"> </w:t>
      </w:r>
      <w:r>
        <w:t xml:space="preserve">Malaysia Kuala Lumpur</w:t>
      </w:r>
    </w:p>
    <w:p>
      <w:pPr>
        <w:pStyle w:val="BodyText"/>
      </w:pPr>
      <w:r>
        <w:rPr>
          <w:bCs/>
          <w:b/>
        </w:rPr>
        <w:t xml:space="preserve">Review Date:</w:t>
      </w:r>
      <w:r>
        <w:t xml:space="preserve"> </w:t>
      </w:r>
      <w:r>
        <w:t xml:space="preserve">October 24, 2023</w:t>
      </w:r>
    </w:p>
    <w:p>
      <w:pPr>
        <w:pStyle w:val="BodyText"/>
      </w:pPr>
      <w:r>
        <w:rPr>
          <w:bCs/>
          <w:b/>
        </w:rPr>
        <w:t xml:space="preserve">Review Type:</w:t>
      </w:r>
      <w:r>
        <w:t xml:space="preserve"> </w:t>
      </w:r>
      <w:r>
        <w:t xml:space="preserve">Retrospective Case Audit &amp; Clinical Standards Assessment</w:t>
      </w:r>
    </w:p>
    <w:p>
      <w:pPr>
        <w:pStyle w:val="BodyText"/>
      </w:pPr>
      <w:r>
        <w:rPr>
          <w:bCs/>
          <w:b/>
        </w:rPr>
        <w:t xml:space="preserve">Regulatory Framework:</w:t>
      </w:r>
      <w:r>
        <w:t xml:space="preserve"> </w:t>
      </w:r>
      <w:r>
        <w:t xml:space="preserve">Dental Council Malaysia (DCM) Guidelines</w:t>
      </w:r>
    </w:p>
    <w:bookmarkStart w:id="21" w:name="introduction-and-scope"/>
    <w:p>
      <w:pPr>
        <w:pStyle w:val="Heading2"/>
      </w:pPr>
      <w:r>
        <w:t xml:space="preserve">1. Introduction and Scope</w:t>
      </w:r>
    </w:p>
    <w:p>
      <w:pPr>
        <w:pStyle w:val="FirstParagraph"/>
      </w:pPr>
      <w:r>
        <w:t xml:space="preserve">This</w:t>
      </w:r>
      <w:r>
        <w:t xml:space="preserve"> </w:t>
      </w:r>
      <w:r>
        <w:rPr>
          <w:bCs/>
          <w:b/>
        </w:rPr>
        <w:t xml:space="preserve">Peer Review Report</w:t>
      </w:r>
      <w:r>
        <w:t xml:space="preserve"> </w:t>
      </w:r>
      <w:r>
        <w:t xml:space="preserve">has been commissioned to evaluate the clinical standards, diagnostic accuracy, and treatment planning protocols of a practicing</w:t>
      </w:r>
      <w:r>
        <w:t xml:space="preserve"> </w:t>
      </w:r>
      <w:r>
        <w:rPr>
          <w:bCs/>
          <w:b/>
        </w:rPr>
        <w:t xml:space="preserve">Orthodontist</w:t>
      </w:r>
      <w:r>
        <w:t xml:space="preserve"> </w:t>
      </w:r>
      <w:r>
        <w:t xml:space="preserve">located in</w:t>
      </w:r>
      <w:r>
        <w:t xml:space="preserve"> </w:t>
      </w:r>
      <w:r>
        <w:rPr>
          <w:bCs/>
          <w:b/>
        </w:rPr>
        <w:t xml:space="preserve">Malaysia Kuala Lumpur</w:t>
      </w:r>
      <w:r>
        <w:t xml:space="preserve">. The primary objective of this review is to ensure that the clinical care provided aligns with the rigorous standards set forth by the Dental Council Malaysia and international orthodontic best practices.</w:t>
      </w:r>
    </w:p>
    <w:p>
      <w:pPr>
        <w:pStyle w:val="BodyText"/>
      </w:pPr>
      <w:r>
        <w:t xml:space="preserve">As the dental landscape in</w:t>
      </w:r>
      <w:r>
        <w:t xml:space="preserve"> </w:t>
      </w:r>
      <w:r>
        <w:rPr>
          <w:bCs/>
          <w:b/>
        </w:rPr>
        <w:t xml:space="preserve">Malaysia Kuala Lumpur</w:t>
      </w:r>
      <w:r>
        <w:t xml:space="preserve"> </w:t>
      </w:r>
      <w:r>
        <w:t xml:space="preserve">continues to evolve with advanced technologies and a diverse patient demographic, maintaining high-quality orthodontic care is paramount. This report assesses a sample of 50 completed and ongoing cases to determine the efficacy of treatment outcomes, the appropriateness of appliance selection, and the adherence to infection control protocols specific to the local regulatory environment.</w:t>
      </w:r>
    </w:p>
    <w:bookmarkEnd w:id="21"/>
    <w:bookmarkStart w:id="22" w:name="Xfd6c0bd97f3326077207f184e0151b9cadf8202"/>
    <w:p>
      <w:pPr>
        <w:pStyle w:val="Heading2"/>
      </w:pPr>
      <w:r>
        <w:t xml:space="preserve">2. Regulatory Compliance and Ethical Standards</w:t>
      </w:r>
    </w:p>
    <w:p>
      <w:pPr>
        <w:pStyle w:val="FirstParagraph"/>
      </w:pPr>
      <w:r>
        <w:t xml:space="preserve">The first area of scrutiny in this</w:t>
      </w:r>
      <w:r>
        <w:t xml:space="preserve"> </w:t>
      </w:r>
      <w:r>
        <w:rPr>
          <w:bCs/>
          <w:b/>
        </w:rPr>
        <w:t xml:space="preserve">Peer Review Report</w:t>
      </w:r>
      <w:r>
        <w:t xml:space="preserve"> </w:t>
      </w:r>
      <w:r>
        <w:t xml:space="preserve">concerns the adherence to the Dental Act 1971 and the Code of Ethics for Dentists in Malaysia. The reviewed</w:t>
      </w:r>
      <w:r>
        <w:t xml:space="preserve"> </w:t>
      </w:r>
      <w:r>
        <w:rPr>
          <w:bCs/>
          <w:b/>
        </w:rPr>
        <w:t xml:space="preserve">Orthodontist</w:t>
      </w:r>
      <w:r>
        <w:t xml:space="preserve"> </w:t>
      </w:r>
      <w:r>
        <w:t xml:space="preserve">demonstrated full compliance with the registration requirements mandated by the Dental Council Malaysia.</w:t>
      </w:r>
    </w:p>
    <w:p>
      <w:pPr>
        <w:pStyle w:val="BodyText"/>
      </w:pPr>
      <w:r>
        <w:t xml:space="preserve">In the context of</w:t>
      </w:r>
      <w:r>
        <w:t xml:space="preserve"> </w:t>
      </w:r>
      <w:r>
        <w:rPr>
          <w:bCs/>
          <w:b/>
        </w:rPr>
        <w:t xml:space="preserve">Malaysia Kuala Lumpur</w:t>
      </w:r>
      <w:r>
        <w:t xml:space="preserve">, where private dental practices operate alongside public health facilities, informed consent is a critical component of patient care. The audit revealed that the</w:t>
      </w:r>
      <w:r>
        <w:t xml:space="preserve"> </w:t>
      </w:r>
      <w:r>
        <w:rPr>
          <w:bCs/>
          <w:b/>
        </w:rPr>
        <w:t xml:space="preserve">Orthodontist</w:t>
      </w:r>
      <w:r>
        <w:t xml:space="preserve"> </w:t>
      </w:r>
      <w:r>
        <w:t xml:space="preserve">utilizes comprehensive consent forms that clearly outline treatment risks, duration, costs, and alternative options. These documents are provided in both English and Bahasa Malaysia, ensuring that patients from diverse linguistic backgrounds in Kuala Lumpur are fully informed before commencing orthodontic therapy.</w:t>
      </w:r>
    </w:p>
    <w:bookmarkEnd w:id="22"/>
    <w:bookmarkStart w:id="23" w:name="X40d9f23e26bd5a6ebd55dd1ea408a3aa7517cb2"/>
    <w:p>
      <w:pPr>
        <w:pStyle w:val="Heading2"/>
      </w:pPr>
      <w:r>
        <w:t xml:space="preserve">3. Diagnostic Records and Treatment Planning</w:t>
      </w:r>
    </w:p>
    <w:p>
      <w:pPr>
        <w:pStyle w:val="FirstParagraph"/>
      </w:pPr>
      <w:r>
        <w:t xml:space="preserve">A robust diagnostic foundation is essential for successful orthodontic outcomes. This</w:t>
      </w:r>
      <w:r>
        <w:t xml:space="preserve"> </w:t>
      </w:r>
      <w:r>
        <w:rPr>
          <w:bCs/>
          <w:b/>
        </w:rPr>
        <w:t xml:space="preserve">Peer Review Report</w:t>
      </w:r>
      <w:r>
        <w:t xml:space="preserve"> </w:t>
      </w:r>
      <w:r>
        <w:t xml:space="preserve">examined the diagnostic records of the selected cases. The</w:t>
      </w:r>
      <w:r>
        <w:t xml:space="preserve"> </w:t>
      </w:r>
      <w:r>
        <w:rPr>
          <w:bCs/>
          <w:b/>
        </w:rPr>
        <w:t xml:space="preserve">Orthodontist</w:t>
      </w:r>
      <w:r>
        <w:t xml:space="preserve"> </w:t>
      </w:r>
      <w:r>
        <w:t xml:space="preserve">consistently utilizes a full set of diagnostic records, including panoramic radiographs, lateral cephalometric radiographs, and intraoral photographs.</w:t>
      </w:r>
    </w:p>
    <w:p>
      <w:pPr>
        <w:pStyle w:val="BodyText"/>
      </w:pPr>
      <w:r>
        <w:t xml:space="preserve">Notably, the practice in</w:t>
      </w:r>
      <w:r>
        <w:t xml:space="preserve"> </w:t>
      </w:r>
      <w:r>
        <w:rPr>
          <w:bCs/>
          <w:b/>
        </w:rPr>
        <w:t xml:space="preserve">Malaysia Kuala Lumpur</w:t>
      </w:r>
      <w:r>
        <w:t xml:space="preserve"> </w:t>
      </w:r>
      <w:r>
        <w:t xml:space="preserve">has integrated digital imaging technology, which enhances the precision of cephalometric analysis. The treatment plans reviewed were logical, evidence-based, and tailored to the specific malocclusion of each patient. The</w:t>
      </w:r>
      <w:r>
        <w:t xml:space="preserve"> </w:t>
      </w:r>
      <w:r>
        <w:rPr>
          <w:bCs/>
          <w:b/>
        </w:rPr>
        <w:t xml:space="preserve">Orthodontist</w:t>
      </w:r>
      <w:r>
        <w:t xml:space="preserve"> </w:t>
      </w:r>
      <w:r>
        <w:t xml:space="preserve">demonstrated a strong understanding of growth modification techniques for adolescent patients and camouflage versus surgical orthodontics for adult patients, reflecting a high level of clinical competence expected in a major metropolitan hub like Kuala Lumpur.</w:t>
      </w:r>
    </w:p>
    <w:bookmarkEnd w:id="23"/>
    <w:bookmarkStart w:id="24" w:name="Xe318fe469e74b3bd88b39a26a6fd342c7f8548f"/>
    <w:p>
      <w:pPr>
        <w:pStyle w:val="Heading2"/>
      </w:pPr>
      <w:r>
        <w:t xml:space="preserve">4. Clinical Execution and Appliance Management</w:t>
      </w:r>
    </w:p>
    <w:p>
      <w:pPr>
        <w:pStyle w:val="FirstParagraph"/>
      </w:pPr>
      <w:r>
        <w:t xml:space="preserve">The clinical execution of treatment plans was evaluated for technical proficiency. The</w:t>
      </w:r>
      <w:r>
        <w:t xml:space="preserve"> </w:t>
      </w:r>
      <w:r>
        <w:rPr>
          <w:bCs/>
          <w:b/>
        </w:rPr>
        <w:t xml:space="preserve">Orthodontist</w:t>
      </w:r>
      <w:r>
        <w:t xml:space="preserve"> </w:t>
      </w:r>
      <w:r>
        <w:t xml:space="preserve">employs a variety of appliances, including fixed metal brackets, ceramic brackets, and clear aligner therapy. The selection of appliances appears to be driven by clinical indications and patient preference, rather than solely by commercial considerations.</w:t>
      </w:r>
    </w:p>
    <w:p>
      <w:pPr>
        <w:pStyle w:val="BodyText"/>
      </w:pPr>
      <w:r>
        <w:t xml:space="preserve">During the review of active cases, the</w:t>
      </w:r>
      <w:r>
        <w:t xml:space="preserve"> </w:t>
      </w:r>
      <w:r>
        <w:rPr>
          <w:bCs/>
          <w:b/>
        </w:rPr>
        <w:t xml:space="preserve">Peer Review Report</w:t>
      </w:r>
      <w:r>
        <w:t xml:space="preserve"> </w:t>
      </w:r>
      <w:r>
        <w:t xml:space="preserve">noted that bracket placement accuracy was high, and wire sequencing followed established biomechanical principles. In the context of</w:t>
      </w:r>
      <w:r>
        <w:t xml:space="preserve"> </w:t>
      </w:r>
      <w:r>
        <w:rPr>
          <w:bCs/>
          <w:b/>
        </w:rPr>
        <w:t xml:space="preserve">Malaysia Kuala Lumpur</w:t>
      </w:r>
      <w:r>
        <w:t xml:space="preserve">, where patient compliance can vary, the</w:t>
      </w:r>
      <w:r>
        <w:t xml:space="preserve"> </w:t>
      </w:r>
      <w:r>
        <w:rPr>
          <w:bCs/>
          <w:b/>
        </w:rPr>
        <w:t xml:space="preserve">Orthodontist</w:t>
      </w:r>
      <w:r>
        <w:t xml:space="preserve"> </w:t>
      </w:r>
      <w:r>
        <w:t xml:space="preserve">has implemented effective monitoring systems for removable appliances and aligners. This proactive management ensures that treatment timelines are respected and that the risk of relapse is minimized.</w:t>
      </w:r>
    </w:p>
    <w:bookmarkEnd w:id="24"/>
    <w:bookmarkStart w:id="25" w:name="infection-control-and-clinic-safety"/>
    <w:p>
      <w:pPr>
        <w:pStyle w:val="Heading2"/>
      </w:pPr>
      <w:r>
        <w:t xml:space="preserve">5. Infection Control and Clinic Safety</w:t>
      </w:r>
    </w:p>
    <w:p>
      <w:pPr>
        <w:pStyle w:val="FirstParagraph"/>
      </w:pPr>
      <w:r>
        <w:t xml:space="preserve">Infection control is a non-negotiable aspect of modern dental practice. This</w:t>
      </w:r>
      <w:r>
        <w:t xml:space="preserve"> </w:t>
      </w:r>
      <w:r>
        <w:rPr>
          <w:bCs/>
          <w:b/>
        </w:rPr>
        <w:t xml:space="preserve">Peer Review Report</w:t>
      </w:r>
      <w:r>
        <w:t xml:space="preserve"> </w:t>
      </w:r>
      <w:r>
        <w:t xml:space="preserve">confirms that the</w:t>
      </w:r>
      <w:r>
        <w:t xml:space="preserve"> </w:t>
      </w:r>
      <w:r>
        <w:rPr>
          <w:bCs/>
          <w:b/>
        </w:rPr>
        <w:t xml:space="preserve">Orthodontist</w:t>
      </w:r>
      <w:r>
        <w:t xml:space="preserve">'s clinic in</w:t>
      </w:r>
      <w:r>
        <w:t xml:space="preserve"> </w:t>
      </w:r>
      <w:r>
        <w:rPr>
          <w:bCs/>
          <w:b/>
        </w:rPr>
        <w:t xml:space="preserve">Malaysia Kuala Lumpur</w:t>
      </w:r>
      <w:r>
        <w:t xml:space="preserve"> </w:t>
      </w:r>
      <w:r>
        <w:t xml:space="preserve">adheres strictly to the infection control guidelines issued by the Ministry of Health Malaysia.</w:t>
      </w:r>
    </w:p>
    <w:p>
      <w:pPr>
        <w:pStyle w:val="BodyText"/>
      </w:pPr>
      <w:r>
        <w:t xml:space="preserve">The sterilization protocols for orthodontic pliers and other reusable instruments were observed to be rigorous, utilizing autoclave sterilization with regular biological monitoring. The use of personal protective equipment (PPE) by the clinical team was consistent, and the clinic environment maintained a high standard of hygiene. This is particularly important in a densely populated urban center like Kuala Lumpur, where the transmission of infectious diseases must be vigilantly controlled.</w:t>
      </w:r>
    </w:p>
    <w:bookmarkEnd w:id="25"/>
    <w:bookmarkStart w:id="26" w:name="patient-communication-and-satisfaction"/>
    <w:p>
      <w:pPr>
        <w:pStyle w:val="Heading2"/>
      </w:pPr>
      <w:r>
        <w:t xml:space="preserve">6. Patient Communication and Satisfaction</w:t>
      </w:r>
    </w:p>
    <w:p>
      <w:pPr>
        <w:pStyle w:val="FirstParagraph"/>
      </w:pPr>
      <w:r>
        <w:t xml:space="preserve">Effective communication is vital in orthodontics, where treatment durations are long and patient cooperation is essential. The</w:t>
      </w:r>
      <w:r>
        <w:t xml:space="preserve"> </w:t>
      </w:r>
      <w:r>
        <w:rPr>
          <w:bCs/>
          <w:b/>
        </w:rPr>
        <w:t xml:space="preserve">Peer Review Report</w:t>
      </w:r>
      <w:r>
        <w:t xml:space="preserve"> </w:t>
      </w:r>
      <w:r>
        <w:t xml:space="preserve">highlights that the</w:t>
      </w:r>
      <w:r>
        <w:t xml:space="preserve"> </w:t>
      </w:r>
      <w:r>
        <w:rPr>
          <w:bCs/>
          <w:b/>
        </w:rPr>
        <w:t xml:space="preserve">Orthodontist</w:t>
      </w:r>
      <w:r>
        <w:t xml:space="preserve"> </w:t>
      </w:r>
      <w:r>
        <w:t xml:space="preserve">maintains excellent rapport with patients. Regular progress updates are provided, and any concerns regarding discomfort or appliance breakage are addressed promptly.</w:t>
      </w:r>
    </w:p>
    <w:p>
      <w:pPr>
        <w:pStyle w:val="BodyText"/>
      </w:pPr>
      <w:r>
        <w:t xml:space="preserve">Patient feedback collected during the review period indicated a high level of satisfaction with the care received. Patients in</w:t>
      </w:r>
      <w:r>
        <w:t xml:space="preserve"> </w:t>
      </w:r>
      <w:r>
        <w:rPr>
          <w:bCs/>
          <w:b/>
        </w:rPr>
        <w:t xml:space="preserve">Malaysia Kuala Lumpur</w:t>
      </w:r>
      <w:r>
        <w:t xml:space="preserve"> </w:t>
      </w:r>
      <w:r>
        <w:t xml:space="preserve">appreciated the</w:t>
      </w:r>
      <w:r>
        <w:t xml:space="preserve"> </w:t>
      </w:r>
      <w:r>
        <w:rPr>
          <w:bCs/>
          <w:b/>
        </w:rPr>
        <w:t xml:space="preserve">Orthodontist</w:t>
      </w:r>
      <w:r>
        <w:t xml:space="preserve">'s ability to explain complex orthodontic concepts in simple terms, fostering trust and encouraging adherence to treatment protocols.</w:t>
      </w:r>
    </w:p>
    <w:bookmarkEnd w:id="26"/>
    <w:bookmarkStart w:id="27" w:name="conclusion-and-recommendations"/>
    <w:p>
      <w:pPr>
        <w:pStyle w:val="Heading2"/>
      </w:pPr>
      <w:r>
        <w:t xml:space="preserve">7. Conclusion and Recommendations</w:t>
      </w:r>
    </w:p>
    <w:p>
      <w:pPr>
        <w:pStyle w:val="FirstParagraph"/>
      </w:pPr>
      <w:r>
        <w:t xml:space="preserve">In conclusion, this</w:t>
      </w:r>
      <w:r>
        <w:t xml:space="preserve"> </w:t>
      </w:r>
      <w:r>
        <w:rPr>
          <w:bCs/>
          <w:b/>
        </w:rPr>
        <w:t xml:space="preserve">Peer Review Report</w:t>
      </w:r>
      <w:r>
        <w:t xml:space="preserve"> </w:t>
      </w:r>
      <w:r>
        <w:t xml:space="preserve">affirms that the</w:t>
      </w:r>
      <w:r>
        <w:t xml:space="preserve"> </w:t>
      </w:r>
      <w:r>
        <w:rPr>
          <w:bCs/>
          <w:b/>
        </w:rPr>
        <w:t xml:space="preserve">Orthodontist</w:t>
      </w:r>
      <w:r>
        <w:t xml:space="preserve"> </w:t>
      </w:r>
      <w:r>
        <w:t xml:space="preserve">under review provides a high standard of clinical care that meets and often exceeds the expectations for practice in</w:t>
      </w:r>
      <w:r>
        <w:t xml:space="preserve"> </w:t>
      </w:r>
      <w:r>
        <w:rPr>
          <w:bCs/>
          <w:b/>
        </w:rPr>
        <w:t xml:space="preserve">Malaysia Kuala Lumpur</w:t>
      </w:r>
      <w:r>
        <w:t xml:space="preserve">. The integration of modern technology, adherence to regulatory standards, and a patient-centered approach characterize this practice.</w:t>
      </w:r>
    </w:p>
    <w:p>
      <w:pPr>
        <w:pStyle w:val="BodyText"/>
      </w:pPr>
      <w:r>
        <w:rPr>
          <w:bCs/>
          <w:b/>
        </w:rPr>
        <w:t xml:space="preserve">Recommendations:</w:t>
      </w:r>
    </w:p>
    <w:p>
      <w:pPr>
        <w:numPr>
          <w:ilvl w:val="0"/>
          <w:numId w:val="1001"/>
        </w:numPr>
        <w:pStyle w:val="Compact"/>
      </w:pPr>
      <w:r>
        <w:t xml:space="preserve">Continue professional development through continuing education courses recognized by the Dental Council Malaysia.</w:t>
      </w:r>
    </w:p>
    <w:p>
      <w:pPr>
        <w:numPr>
          <w:ilvl w:val="0"/>
          <w:numId w:val="1001"/>
        </w:numPr>
        <w:pStyle w:val="Compact"/>
      </w:pPr>
      <w:r>
        <w:t xml:space="preserve">Consider further integration of artificial intelligence tools for cephalometric analysis to enhance diagnostic efficiency.</w:t>
      </w:r>
    </w:p>
    <w:p>
      <w:pPr>
        <w:numPr>
          <w:ilvl w:val="0"/>
          <w:numId w:val="1001"/>
        </w:numPr>
        <w:pStyle w:val="Compact"/>
      </w:pPr>
      <w:r>
        <w:t xml:space="preserve">Maintain the current high standards of infection control and patient communication.</w:t>
      </w:r>
    </w:p>
    <w:p>
      <w:pPr>
        <w:pStyle w:val="FirstParagraph"/>
      </w:pPr>
      <w:r>
        <w:t xml:space="preserve">This review serves as a testament to the commitment of the</w:t>
      </w:r>
      <w:r>
        <w:t xml:space="preserve"> </w:t>
      </w:r>
      <w:r>
        <w:rPr>
          <w:bCs/>
          <w:b/>
        </w:rPr>
        <w:t xml:space="preserve">Orthodontist</w:t>
      </w:r>
      <w:r>
        <w:t xml:space="preserve"> </w:t>
      </w:r>
      <w:r>
        <w:t xml:space="preserve">to excellence in orthodontic care within the dynamic healthcare environment of</w:t>
      </w:r>
      <w:r>
        <w:t xml:space="preserve"> </w:t>
      </w:r>
      <w:r>
        <w:rPr>
          <w:bCs/>
          <w:b/>
        </w:rPr>
        <w:t xml:space="preserve">Malaysia Kuala Lumpur</w:t>
      </w:r>
      <w:r>
        <w:t xml:space="preserve">.</w:t>
      </w:r>
    </w:p>
    <w:p>
      <w:pPr>
        <w:pStyle w:val="BodyText"/>
      </w:pPr>
      <w:r>
        <w:rPr>
          <w:bCs/>
          <w:b/>
        </w:rPr>
        <w:t xml:space="preserve">Report Prepared By:</w:t>
      </w:r>
    </w:p>
    <w:p>
      <w:pPr>
        <w:pStyle w:val="BodyText"/>
      </w:pPr>
      <w:r>
        <w:t xml:space="preserve">Dr. [Reviewer Name]</w:t>
      </w:r>
      <w:r>
        <w:br/>
      </w:r>
      <w:r>
        <w:t xml:space="preserve">Senior Orthodontic Consultant</w:t>
      </w:r>
      <w:r>
        <w:br/>
      </w:r>
      <w:r>
        <w:t xml:space="preserve">Member, Dental Council Malaysia</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Orthodontic Practice Standards in Kuala Lumpur</dc:title>
  <dc:creator/>
  <dc:language>en</dc:language>
  <cp:keywords/>
  <dcterms:created xsi:type="dcterms:W3CDTF">2026-10-10T08:13:49Z</dcterms:created>
  <dcterms:modified xsi:type="dcterms:W3CDTF">2026-10-10T08:13:49Z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