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Treatment Protocols</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Dr. Alexei Volkov, Chief Orthodontist, Moscow State Medical University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treatment efficacy, and patient care protocols of a leading Orthodontist practice located in the heart of Russia Moscow. The review focuses on the alignment of current practices with international standards while considering the specific regulatory and demographic context of the Russian Federation. The primary objective is to ensure that the Orthodontist under review maintains the highest level of professional competence, particularly in complex malocclusion cases prevalent in the Moscow metropolitan area.</w:t>
      </w:r>
    </w:p>
    <w:bookmarkEnd w:id="21"/>
    <w:bookmarkStart w:id="22" w:name="introduction-and-scope"/>
    <w:p>
      <w:pPr>
        <w:pStyle w:val="Heading2"/>
      </w:pPr>
      <w:r>
        <w:t xml:space="preserve">2. Introduction and Scope</w:t>
      </w:r>
    </w:p>
    <w:p>
      <w:pPr>
        <w:pStyle w:val="FirstParagraph"/>
      </w:pPr>
      <w:r>
        <w:t xml:space="preserve">The field of orthodontics in Russia Moscow has seen rapid technological advancement over the last decade. As the capital city, Moscow attracts patients from across the region seeking specialized care. This report assesses the performance of the designated Orthodontist regarding diagnostic accuracy, treatment planning, biomechanical execution, and ethical compliance. The scope includes a retrospective analysis of 50 completed cases, a review of digital workflow integration, and an evaluation of adherence to the Ministry of Health of the Russian Federation guidelines.</w:t>
      </w:r>
    </w:p>
    <w:bookmarkEnd w:id="22"/>
    <w:bookmarkStart w:id="23" w:name="X45c1b4156b66fede970d38e87ba1f3035493e48"/>
    <w:p>
      <w:pPr>
        <w:pStyle w:val="Heading2"/>
      </w:pPr>
      <w:r>
        <w:t xml:space="preserve">3. Clinical Competence and Diagnostic Accuracy</w:t>
      </w:r>
    </w:p>
    <w:p>
      <w:pPr>
        <w:pStyle w:val="FirstParagraph"/>
      </w:pPr>
      <w:r>
        <w:t xml:space="preserve">The Orthodontist demonstrates a robust understanding of craniofacial growth and development. The diagnostic records reviewed, including panoramic radiographs, cephalometric analyses, and intraoral scans, were comprehensive. In the context of Russia Moscow, where patient expectations for aesthetic outcomes are exceptionally high, the Orthodontist’s ability to correlate functional occlusion with facial aesthetics is commendable.</w:t>
      </w:r>
    </w:p>
    <w:p>
      <w:pPr>
        <w:pStyle w:val="BodyText"/>
      </w:pPr>
      <w:r>
        <w:t xml:space="preserve">Specific attention was paid to the management of Class II and Class III malocclusions. The treatment plans exhibited a logical progression, utilizing evidence-based biomechanics. The Orthodontist effectively utilized modern diagnostic tools available in Moscow’s advanced dental clinics, ensuring that skeletal discrepancies were identified early. This proactive approach minimizes the need for orthognathic surgery, a significant benefit for patients in the region.</w:t>
      </w:r>
    </w:p>
    <w:bookmarkEnd w:id="23"/>
    <w:bookmarkStart w:id="24" w:name="treatment-methodology-and-technology"/>
    <w:p>
      <w:pPr>
        <w:pStyle w:val="Heading2"/>
      </w:pPr>
      <w:r>
        <w:t xml:space="preserve">4. Treatment Methodology and Technology</w:t>
      </w:r>
    </w:p>
    <w:p>
      <w:pPr>
        <w:pStyle w:val="FirstParagraph"/>
      </w:pPr>
      <w:r>
        <w:t xml:space="preserve">A critical aspect of this Peer Review Report is the evaluation of technological integration. The Orthodontist has successfully implemented digital orthodontics, including 3D printing and clear aligner therapy. This is particularly relevant in Russia Moscow, where the adoption of digital workflows is becoming the industry standard.</w:t>
      </w:r>
    </w:p>
    <w:p>
      <w:pPr>
        <w:pStyle w:val="BodyText"/>
      </w:pPr>
      <w:r>
        <w:t xml:space="preserve">The use of self-ligating brackets and low-friction mechanics was observed to reduce treatment time and enhance patient comfort. Furthermore, the Orthodontist’s proficiency in managing interdisciplinary cases—collaborating with prosthodontists and periodontists—is vital in a major urban center like Moscow. The review confirms that the Orthodontist stays current with global literature while adapting techniques to suit the specific anatomical variations often seen in the local population.</w:t>
      </w:r>
    </w:p>
    <w:bookmarkEnd w:id="24"/>
    <w:bookmarkStart w:id="25" w:name="patient-care-and-communication"/>
    <w:p>
      <w:pPr>
        <w:pStyle w:val="Heading2"/>
      </w:pPr>
      <w:r>
        <w:t xml:space="preserve">5. Patient Care and Communication</w:t>
      </w:r>
    </w:p>
    <w:p>
      <w:pPr>
        <w:pStyle w:val="FirstParagraph"/>
      </w:pPr>
      <w:r>
        <w:t xml:space="preserve">Effective communication is paramount in orthodontics. The Orthodontist under review demonstrates excellent interpersonal skills, ensuring that patients and their guardians fully understand the treatment objectives, duration, and maintenance requirements. In Russia Moscow, where multilingual patients are common, the Orthodontist’s ability to communicate clearly in both Russian and English enhances accessibility and trust.</w:t>
      </w:r>
    </w:p>
    <w:p>
      <w:pPr>
        <w:pStyle w:val="BodyText"/>
      </w:pPr>
      <w:r>
        <w:t xml:space="preserve">Patient records indicate a high level of satisfaction regarding pain management and emergency response times. The Orthodontist provides detailed instructions on oral hygiene, which is crucial for preventing decalcification and gingival inflammation during treatment. This focus on preventive care aligns with the broader public health goals in the Russian Federation.</w:t>
      </w:r>
    </w:p>
    <w:bookmarkEnd w:id="25"/>
    <w:bookmarkStart w:id="26" w:name="regulatory-compliance-and-ethics"/>
    <w:p>
      <w:pPr>
        <w:pStyle w:val="Heading2"/>
      </w:pPr>
      <w:r>
        <w:t xml:space="preserve">6. Regulatory Compliance and Ethics</w:t>
      </w:r>
    </w:p>
    <w:p>
      <w:pPr>
        <w:pStyle w:val="FirstParagraph"/>
      </w:pPr>
      <w:r>
        <w:t xml:space="preserve">The practice adheres strictly to the regulations set forth by the Ministry of Health of the Russian Federation. All sterilization protocols meet the stringent requirements for infection control in Moscow. The Orthodontist maintains accurate and confidential patient records, ensuring compliance with data protection laws.</w:t>
      </w:r>
    </w:p>
    <w:p>
      <w:pPr>
        <w:pStyle w:val="BodyText"/>
      </w:pPr>
      <w:r>
        <w:t xml:space="preserve">Ethical considerations were thoroughly reviewed. The Orthodontist avoids overtreatment and ensures that all proposed interventions are clinically justified. Informed consent processes are robust, with patients provided with realistic expectations regarding outcomes. This ethical stance is essential for maintaining the integrity of the profession in a competitive market like Russia Moscow.</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invest in continuing education, particularly in emerging technologies such as AI-driven treatment planning.</w:t>
      </w:r>
    </w:p>
    <w:p>
      <w:pPr>
        <w:numPr>
          <w:ilvl w:val="0"/>
          <w:numId w:val="1001"/>
        </w:numPr>
        <w:pStyle w:val="Compact"/>
      </w:pPr>
      <w:r>
        <w:t xml:space="preserve">Enhance collaboration with local academic institutions in Moscow to contribute to research in orthodontics.</w:t>
      </w:r>
    </w:p>
    <w:p>
      <w:pPr>
        <w:numPr>
          <w:ilvl w:val="0"/>
          <w:numId w:val="1001"/>
        </w:numPr>
        <w:pStyle w:val="Compact"/>
      </w:pPr>
      <w:r>
        <w:t xml:space="preserve">Expand patient education materials to include more detailed information on long-term retention strategies.</w:t>
      </w:r>
    </w:p>
    <w:bookmarkEnd w:id="27"/>
    <w:bookmarkStart w:id="28" w:name="conclusion"/>
    <w:p>
      <w:pPr>
        <w:pStyle w:val="Heading2"/>
      </w:pPr>
      <w:r>
        <w:t xml:space="preserve">8. Conclusion</w:t>
      </w:r>
    </w:p>
    <w:p>
      <w:pPr>
        <w:pStyle w:val="FirstParagraph"/>
      </w:pPr>
      <w:r>
        <w:t xml:space="preserve">In conclusion, the Orthodontist evaluated in this report demonstrates a high level of clinical excellence, technological proficiency, and ethical practice. The standards maintained are consistent with the best practices observed in Russia Moscow and internationally. The Orthodontist is well-equipped to meet the complex needs of patients in the region, delivering outcomes that are both functionally sound and aesthetically pleasing. This Peer Review Report affirms the Orthodontist’s competence and commitment to the advancement of orthodontic care.</w:t>
      </w:r>
    </w:p>
    <w:bookmarkEnd w:id="28"/>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Dr. Alexei Volkov</w:t>
      </w:r>
    </w:p>
    <w:p>
      <w:pPr>
        <w:pStyle w:val="BodyText"/>
      </w:pPr>
      <w:r>
        <w:rPr>
          <w:bCs/>
          <w:b/>
        </w:rPr>
        <w:t xml:space="preserve">Title:</w:t>
      </w:r>
      <w:r>
        <w:t xml:space="preserve"> </w:t>
      </w:r>
      <w:r>
        <w:t xml:space="preserve">Chief Orthodontist</w:t>
      </w:r>
    </w:p>
    <w:p>
      <w:pPr>
        <w:pStyle w:val="BodyText"/>
      </w:pPr>
      <w:r>
        <w:rPr>
          <w:bCs/>
          <w:b/>
        </w:rPr>
        <w:t xml:space="preserve">Affiliation:</w:t>
      </w:r>
      <w:r>
        <w:t xml:space="preserve"> </w:t>
      </w:r>
      <w:r>
        <w:t xml:space="preserve">Moscow State Medical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Russia Moscow</dc:title>
  <dc:creator/>
  <dc:language>en</dc:language>
  <cp:keywords/>
  <dcterms:created xsi:type="dcterms:W3CDTF">2026-10-10T04:34:37Z</dcterms:created>
  <dcterms:modified xsi:type="dcterms:W3CDTF">2026-10-10T04:34:37Z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