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t xml:space="preserve">Orthodontic Clinical Practice Assessment</w:t>
      </w:r>
    </w:p>
    <w:p>
      <w:pPr>
        <w:pStyle w:val="BodyText"/>
      </w:pPr>
      <w:r>
        <w:t xml:space="preserve">Report ID:</w:t>
      </w:r>
      <w:r>
        <w:t xml:space="preserve"> </w:t>
      </w:r>
      <w:r>
        <w:t xml:space="preserve">ORTH-RIY-2023-894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Riyadh, Saudi Arabia</w:t>
      </w:r>
    </w:p>
    <w:p>
      <w:pPr>
        <w:pStyle w:val="BodyText"/>
      </w:pPr>
      <w:r>
        <w:t xml:space="preserve">Regulatory Body:</w:t>
      </w:r>
      <w:r>
        <w:t xml:space="preserve"> </w:t>
      </w:r>
      <w:r>
        <w:t xml:space="preserve">Saudi Commission for Health Specialties (SCFHS)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the clinical practice, record-keeping, and patient management protocols of a licensed</w:t>
      </w:r>
      <w:r>
        <w:t xml:space="preserve"> </w:t>
      </w:r>
      <w:r>
        <w:rPr>
          <w:bCs/>
          <w:b/>
        </w:rPr>
        <w:t xml:space="preserve">Orthodontist</w:t>
      </w:r>
      <w:r>
        <w:t xml:space="preserve"> </w:t>
      </w:r>
      <w:r>
        <w:t xml:space="preserve">operating within the Kingdom of</w:t>
      </w:r>
      <w:r>
        <w:t xml:space="preserve"> </w:t>
      </w:r>
      <w:r>
        <w:rPr>
          <w:bCs/>
          <w:b/>
        </w:rPr>
        <w:t xml:space="preserve">Saudi Arabia, Riyadh</w:t>
      </w:r>
      <w:r>
        <w:t xml:space="preserve">. The review was conducted in accordance with the standards set forth by the Saudi Commission for Health Specialties (SCFHS) and the Saudi Dental Association (SDA).</w:t>
      </w:r>
    </w:p>
    <w:p>
      <w:pPr>
        <w:pStyle w:val="BodyText"/>
      </w:pPr>
      <w:r>
        <w:t xml:space="preserve">The primary objective of this assessment is to ensure that the orthodontic care provided meets the highest international standards of clinical excellence, patient safety, and ethical practice. Given the rapid growth of dental tourism and private healthcare facilities in Riyadh, maintaining rigorous oversight of specialist practices is paramount. This report analyzes the practitioner's adherence to evidence-based treatment planning, infection control measures, and informed consent procedures specific to the local regulatory environment.</w:t>
      </w:r>
    </w:p>
    <w:bookmarkEnd w:id="21"/>
    <w:bookmarkStart w:id="22" w:name="practitioner-and-facility-details"/>
    <w:p>
      <w:pPr>
        <w:pStyle w:val="Heading2"/>
      </w:pPr>
      <w:r>
        <w:t xml:space="preserve">2. Practitioner and Facility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Practitioner Name</w:t>
            </w:r>
          </w:p>
        </w:tc>
        <w:tc>
          <w:tcPr/>
          <w:p>
            <w:pPr>
              <w:pStyle w:val="Compact"/>
              <w:jc w:val="left"/>
            </w:pPr>
            <w:r>
              <w:t xml:space="preserve">Dr. [Name Redacted for Privacy]</w:t>
            </w:r>
          </w:p>
        </w:tc>
      </w:tr>
      <w:tr>
        <w:tc>
          <w:tcPr/>
          <w:p>
            <w:pPr>
              <w:pStyle w:val="Compact"/>
              <w:jc w:val="left"/>
            </w:pPr>
            <w:r>
              <w:t xml:space="preserve">Specialty</w:t>
            </w:r>
          </w:p>
        </w:tc>
        <w:tc>
          <w:tcPr/>
          <w:p>
            <w:pPr>
              <w:pStyle w:val="Compact"/>
              <w:jc w:val="left"/>
            </w:pPr>
            <w:r>
              <w:t xml:space="preserve">Orthodontics and Dentofacial Orthopedics</w:t>
            </w:r>
          </w:p>
        </w:tc>
      </w:tr>
      <w:tr>
        <w:tc>
          <w:tcPr/>
          <w:p>
            <w:pPr>
              <w:pStyle w:val="Compact"/>
              <w:jc w:val="left"/>
            </w:pPr>
            <w:r>
              <w:t xml:space="preserve">License Status</w:t>
            </w:r>
          </w:p>
        </w:tc>
        <w:tc>
          <w:tcPr/>
          <w:p>
            <w:pPr>
              <w:pStyle w:val="Compact"/>
              <w:jc w:val="left"/>
            </w:pPr>
            <w:r>
              <w:t xml:space="preserve">Active (SCFHS Specialist Class)</w:t>
            </w:r>
          </w:p>
        </w:tc>
      </w:tr>
      <w:tr>
        <w:tc>
          <w:tcPr/>
          <w:p>
            <w:pPr>
              <w:pStyle w:val="Compact"/>
              <w:jc w:val="left"/>
            </w:pPr>
            <w:r>
              <w:t xml:space="preserve">Facility Location</w:t>
            </w:r>
          </w:p>
        </w:tc>
        <w:tc>
          <w:tcPr/>
          <w:p>
            <w:pPr>
              <w:pStyle w:val="Compact"/>
              <w:jc w:val="left"/>
            </w:pPr>
            <w:r>
              <w:t xml:space="preserve">Al Olaya District, Riyadh, Saudi Arabia</w:t>
            </w:r>
          </w:p>
        </w:tc>
      </w:tr>
      <w:tr>
        <w:tc>
          <w:tcPr/>
          <w:p>
            <w:pPr>
              <w:pStyle w:val="Compact"/>
              <w:jc w:val="left"/>
            </w:pPr>
            <w:r>
              <w:t xml:space="preserve">Review Type</w:t>
            </w:r>
          </w:p>
        </w:tc>
        <w:tc>
          <w:tcPr/>
          <w:p>
            <w:pPr>
              <w:pStyle w:val="Compact"/>
              <w:jc w:val="left"/>
            </w:pPr>
            <w:r>
              <w:t xml:space="preserve">Periodic Clinical Audit &amp; Peer Review</w:t>
            </w:r>
          </w:p>
        </w:tc>
      </w:tr>
    </w:tbl>
    <w:bookmarkEnd w:id="22"/>
    <w:bookmarkStart w:id="25" w:name="X9ca21b41d500b4729103c4d51a6ccaf42ba72ba"/>
    <w:p>
      <w:pPr>
        <w:pStyle w:val="Heading2"/>
      </w:pPr>
      <w:r>
        <w:t xml:space="preserve">3. Clinical Competency and Treatment Planning</w:t>
      </w:r>
    </w:p>
    <w:p>
      <w:pPr>
        <w:pStyle w:val="FirstParagraph"/>
      </w:pPr>
      <w:r>
        <w:t xml:space="preserve">A random sample of 20 active patient files was reviewed to assess the quality of diagnosis and treatment planning. As an</w:t>
      </w:r>
      <w:r>
        <w:t xml:space="preserve"> </w:t>
      </w:r>
      <w:r>
        <w:rPr>
          <w:bCs/>
          <w:b/>
        </w:rPr>
        <w:t xml:space="preserve">Orthodontist</w:t>
      </w:r>
      <w:r>
        <w:t xml:space="preserve">, the practitioner is expected to demonstrate proficiency in cephalometric analysis, occlusal assessment, and growth modification strategies.</w:t>
      </w:r>
    </w:p>
    <w:bookmarkStart w:id="23" w:name="diagnostic-records"/>
    <w:p>
      <w:pPr>
        <w:pStyle w:val="Heading3"/>
      </w:pPr>
      <w:r>
        <w:t xml:space="preserve">3.1 Diagnostic Records</w:t>
      </w:r>
    </w:p>
    <w:p>
      <w:pPr>
        <w:pStyle w:val="FirstParagraph"/>
      </w:pPr>
      <w:r>
        <w:t xml:space="preserve">The review confirms that the Orthodontist consistently obtains comprehensive diagnostic records, including panoramic radiographs, lateral cephalograms, and intraoral photographs. The quality of these images meets the requirements for accurate diagnosis. Furthermore, the use of digital scanning technology (Intraoral Scanners) is evident in recent cases, aligning with the modernization initiatives encouraged by the Ministry of Health in Riyadh.</w:t>
      </w:r>
    </w:p>
    <w:bookmarkEnd w:id="23"/>
    <w:bookmarkStart w:id="24" w:name="treatment-plans"/>
    <w:p>
      <w:pPr>
        <w:pStyle w:val="Heading3"/>
      </w:pPr>
      <w:r>
        <w:t xml:space="preserve">3.2 Treatment Plans</w:t>
      </w:r>
    </w:p>
    <w:p>
      <w:pPr>
        <w:pStyle w:val="FirstParagraph"/>
      </w:pPr>
      <w:r>
        <w:t xml:space="preserve">Treatment plans were found to be logical, evidence-based, and tailored to the specific needs of the patient. The Orthodontist demonstrated a strong understanding of biomechanics in both fixed appliance therapy and clear aligner systems. Complex cases involving skeletal discrepancies were appropriately referred for multidisciplinary evaluation, showcasing a commitment to holistic patient care.</w:t>
      </w:r>
    </w:p>
    <w:bookmarkEnd w:id="24"/>
    <w:bookmarkEnd w:id="25"/>
    <w:bookmarkStart w:id="26" w:name="patient-safety-and-infection-control"/>
    <w:p>
      <w:pPr>
        <w:pStyle w:val="Heading2"/>
      </w:pPr>
      <w:r>
        <w:t xml:space="preserve">4. Patient Safety and Infection Control</w:t>
      </w:r>
    </w:p>
    <w:p>
      <w:pPr>
        <w:pStyle w:val="FirstParagraph"/>
      </w:pPr>
      <w:r>
        <w:t xml:space="preserve">Infection prevention and control (IPC) are critical components of any medical facility in</w:t>
      </w:r>
      <w:r>
        <w:t xml:space="preserve"> </w:t>
      </w:r>
      <w:r>
        <w:rPr>
          <w:bCs/>
          <w:b/>
        </w:rPr>
        <w:t xml:space="preserve">Saudi Arabia</w:t>
      </w:r>
      <w:r>
        <w:t xml:space="preserve">. This section evaluates the Orthodontist's adherence to the IPC guidelines mandated by the Central Board for Accreditation of Healthcare Institutions (CBAHI).</w:t>
      </w:r>
    </w:p>
    <w:p>
      <w:pPr>
        <w:numPr>
          <w:ilvl w:val="0"/>
          <w:numId w:val="1001"/>
        </w:numPr>
        <w:pStyle w:val="Compact"/>
      </w:pPr>
      <w:r>
        <w:rPr>
          <w:bCs/>
          <w:b/>
        </w:rPr>
        <w:t xml:space="preserve">Sterilization Protocols:</w:t>
      </w:r>
      <w:r>
        <w:t xml:space="preserve"> </w:t>
      </w:r>
      <w:r>
        <w:t xml:space="preserve">The autoclave logs were reviewed and found to be up to date. Biological indicators are tested weekly as required.</w:t>
      </w:r>
    </w:p>
    <w:p>
      <w:pPr>
        <w:numPr>
          <w:ilvl w:val="0"/>
          <w:numId w:val="1001"/>
        </w:numPr>
        <w:pStyle w:val="Compact"/>
      </w:pPr>
      <w:r>
        <w:rPr>
          <w:bCs/>
          <w:b/>
        </w:rPr>
        <w:t xml:space="preserve">Personal Protective Equipment (PPE):</w:t>
      </w:r>
      <w:r>
        <w:t xml:space="preserve"> </w:t>
      </w:r>
      <w:r>
        <w:t xml:space="preserve">The Orthodontist and auxiliary staff were observed wearing appropriate PPE during all clinical procedures.</w:t>
      </w:r>
    </w:p>
    <w:p>
      <w:pPr>
        <w:numPr>
          <w:ilvl w:val="0"/>
          <w:numId w:val="1001"/>
        </w:numPr>
        <w:pStyle w:val="Compact"/>
      </w:pPr>
      <w:r>
        <w:rPr>
          <w:bCs/>
          <w:b/>
        </w:rPr>
        <w:t xml:space="preserve">Waste Management:</w:t>
      </w:r>
      <w:r>
        <w:t xml:space="preserve"> </w:t>
      </w:r>
      <w:r>
        <w:t xml:space="preserve">Sharps disposal and biomedical waste segregation comply with the environmental regulations of the Riyadh Municipality.</w:t>
      </w:r>
    </w:p>
    <w:p>
      <w:pPr>
        <w:pStyle w:val="FirstParagraph"/>
      </w:pPr>
      <w:r>
        <w:t xml:space="preserve">The facility demonstrates a high level of hygiene, ensuring a safe environment for patients and staff alike.</w:t>
      </w:r>
    </w:p>
    <w:bookmarkEnd w:id="26"/>
    <w:bookmarkStart w:id="27" w:name="ethical-practice-and-informed-consent"/>
    <w:p>
      <w:pPr>
        <w:pStyle w:val="Heading2"/>
      </w:pPr>
      <w:r>
        <w:t xml:space="preserve">5. Ethical Practice and Informed Consent</w:t>
      </w:r>
    </w:p>
    <w:p>
      <w:pPr>
        <w:pStyle w:val="FirstParagraph"/>
      </w:pPr>
      <w:r>
        <w:t xml:space="preserve">Ethical conduct is a cornerstone of the medical profession in the Kingdom. This</w:t>
      </w:r>
      <w:r>
        <w:t xml:space="preserve"> </w:t>
      </w:r>
      <w:r>
        <w:rPr>
          <w:bCs/>
          <w:b/>
        </w:rPr>
        <w:t xml:space="preserve">Peer Review Report</w:t>
      </w:r>
      <w:r>
        <w:t xml:space="preserve"> </w:t>
      </w:r>
      <w:r>
        <w:t xml:space="preserve">highlights the Orthodontist's adherence to the Code of Ethics for Healthcare Professionals in Saudi Arabia.</w:t>
      </w:r>
    </w:p>
    <w:p>
      <w:pPr>
        <w:pStyle w:val="BodyText"/>
      </w:pPr>
      <w:r>
        <w:t xml:space="preserve">Informed consent forms were present in all reviewed files. The forms were written in clear language, available in both Arabic and English, and detailed the risks, benefits, and alternatives of the proposed orthodontic treatment. The Orthodontist ensures that guardians provide consent for pediatric patients, respecting local cultural and legal norms regarding family decision-making.</w:t>
      </w:r>
    </w:p>
    <w:bookmarkEnd w:id="27"/>
    <w:bookmarkStart w:id="28" w:name="scoring-and-evaluation-matrix"/>
    <w:p>
      <w:pPr>
        <w:pStyle w:val="Heading2"/>
      </w:pPr>
      <w:r>
        <w:t xml:space="preserve">6. Scoring and Evaluation Matrix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Score (0-10)</w:t>
            </w:r>
          </w:p>
        </w:tc>
        <w:tc>
          <w:tcPr/>
          <w:p>
            <w:pPr>
              <w:pStyle w:val="Compact"/>
              <w:jc w:val="left"/>
            </w:pPr>
            <w:r>
              <w:t xml:space="preserve">Status</w:t>
            </w:r>
          </w:p>
        </w:tc>
      </w:tr>
      <w:tr>
        <w:tc>
          <w:tcPr/>
          <w:p>
            <w:pPr>
              <w:pStyle w:val="Compact"/>
              <w:jc w:val="left"/>
            </w:pPr>
            <w:r>
              <w:t xml:space="preserve">Clinical Diagnosis &amp; Planning</w:t>
            </w:r>
          </w:p>
        </w:tc>
        <w:tc>
          <w:tcPr/>
          <w:p>
            <w:pPr>
              <w:pStyle w:val="Compact"/>
              <w:jc w:val="left"/>
            </w:pPr>
            <w:r>
              <w:t xml:space="preserve">30%</w:t>
            </w:r>
          </w:p>
        </w:tc>
        <w:tc>
          <w:tcPr/>
          <w:p>
            <w:pPr>
              <w:pStyle w:val="Compact"/>
              <w:jc w:val="left"/>
            </w:pPr>
            <w:r>
              <w:t xml:space="preserve">9.5</w:t>
            </w:r>
          </w:p>
        </w:tc>
        <w:tc>
          <w:tcPr/>
          <w:p>
            <w:pPr>
              <w:pStyle w:val="Compact"/>
              <w:jc w:val="left"/>
            </w:pPr>
            <w:r>
              <w:t xml:space="preserve">Pass</w:t>
            </w:r>
          </w:p>
        </w:tc>
      </w:tr>
      <w:tr>
        <w:tc>
          <w:tcPr/>
          <w:p>
            <w:pPr>
              <w:pStyle w:val="Compact"/>
              <w:jc w:val="left"/>
            </w:pPr>
            <w:r>
              <w:t xml:space="preserve">Treatment Execution &amp; Biomechanics</w:t>
            </w:r>
          </w:p>
        </w:tc>
        <w:tc>
          <w:tcPr/>
          <w:p>
            <w:pPr>
              <w:pStyle w:val="Compact"/>
              <w:jc w:val="left"/>
            </w:pPr>
            <w:r>
              <w:t xml:space="preserve">25%</w:t>
            </w:r>
          </w:p>
        </w:tc>
        <w:tc>
          <w:tcPr/>
          <w:p>
            <w:pPr>
              <w:pStyle w:val="Compact"/>
              <w:jc w:val="left"/>
            </w:pPr>
            <w:r>
              <w:t xml:space="preserve">9.0</w:t>
            </w:r>
          </w:p>
        </w:tc>
        <w:tc>
          <w:tcPr/>
          <w:p>
            <w:pPr>
              <w:pStyle w:val="Compact"/>
              <w:jc w:val="left"/>
            </w:pPr>
            <w:r>
              <w:t xml:space="preserve">Pass</w:t>
            </w:r>
          </w:p>
        </w:tc>
      </w:tr>
      <w:tr>
        <w:tc>
          <w:tcPr/>
          <w:p>
            <w:pPr>
              <w:pStyle w:val="Compact"/>
              <w:jc w:val="left"/>
            </w:pPr>
            <w:r>
              <w:t xml:space="preserve">Infection Control &amp; Safety</w:t>
            </w:r>
          </w:p>
        </w:tc>
        <w:tc>
          <w:tcPr/>
          <w:p>
            <w:pPr>
              <w:pStyle w:val="Compact"/>
              <w:jc w:val="left"/>
            </w:pPr>
            <w:r>
              <w:t xml:space="preserve">20%</w:t>
            </w:r>
          </w:p>
        </w:tc>
        <w:tc>
          <w:tcPr/>
          <w:p>
            <w:pPr>
              <w:pStyle w:val="Compact"/>
              <w:jc w:val="left"/>
            </w:pPr>
            <w:r>
              <w:t xml:space="preserve">10.0</w:t>
            </w:r>
          </w:p>
        </w:tc>
        <w:tc>
          <w:tcPr/>
          <w:p>
            <w:pPr>
              <w:pStyle w:val="Compact"/>
              <w:jc w:val="left"/>
            </w:pPr>
            <w:r>
              <w:t xml:space="preserve">Pass</w:t>
            </w:r>
          </w:p>
        </w:tc>
      </w:tr>
      <w:tr>
        <w:tc>
          <w:tcPr/>
          <w:p>
            <w:pPr>
              <w:pStyle w:val="Compact"/>
              <w:jc w:val="left"/>
            </w:pPr>
            <w:r>
              <w:t xml:space="preserve">Patient Records &amp; Documentation</w:t>
            </w:r>
          </w:p>
        </w:tc>
        <w:tc>
          <w:tcPr/>
          <w:p>
            <w:pPr>
              <w:pStyle w:val="Compact"/>
              <w:jc w:val="left"/>
            </w:pPr>
            <w:r>
              <w:t xml:space="preserve">15%</w:t>
            </w:r>
          </w:p>
        </w:tc>
        <w:tc>
          <w:tcPr/>
          <w:p>
            <w:pPr>
              <w:pStyle w:val="Compact"/>
              <w:jc w:val="left"/>
            </w:pPr>
            <w:r>
              <w:t xml:space="preserve">8.5</w:t>
            </w:r>
          </w:p>
        </w:tc>
        <w:tc>
          <w:tcPr/>
          <w:p>
            <w:pPr>
              <w:pStyle w:val="Compact"/>
              <w:jc w:val="left"/>
            </w:pPr>
            <w:r>
              <w:t xml:space="preserve">Pass</w:t>
            </w:r>
          </w:p>
        </w:tc>
      </w:tr>
      <w:tr>
        <w:tc>
          <w:tcPr/>
          <w:p>
            <w:pPr>
              <w:pStyle w:val="Compact"/>
              <w:jc w:val="left"/>
            </w:pPr>
            <w:r>
              <w:t xml:space="preserve">Ethics &amp; Communication</w:t>
            </w:r>
          </w:p>
        </w:tc>
        <w:tc>
          <w:tcPr/>
          <w:p>
            <w:pPr>
              <w:pStyle w:val="Compact"/>
              <w:jc w:val="left"/>
            </w:pPr>
            <w:r>
              <w:t xml:space="preserve">10%</w:t>
            </w:r>
          </w:p>
        </w:tc>
        <w:tc>
          <w:tcPr/>
          <w:p>
            <w:pPr>
              <w:pStyle w:val="Compact"/>
              <w:jc w:val="left"/>
            </w:pPr>
            <w:r>
              <w:t xml:space="preserve">9.0</w:t>
            </w:r>
          </w:p>
        </w:tc>
        <w:tc>
          <w:tcPr/>
          <w:p>
            <w:pPr>
              <w:pStyle w:val="Compact"/>
              <w:jc w:val="left"/>
            </w:pPr>
            <w:r>
              <w:t xml:space="preserve">Pass</w:t>
            </w:r>
          </w:p>
        </w:tc>
      </w:tr>
      <w:tr>
        <w:tc>
          <w:tcPr/>
          <w:p>
            <w:pPr>
              <w:pStyle w:val="Compact"/>
              <w:jc w:val="left"/>
            </w:pPr>
            <w:r>
              <w:rPr>
                <w:bCs/>
                <w:b/>
              </w:rPr>
              <w:t xml:space="preserve">Overall Score</w:t>
            </w:r>
          </w:p>
        </w:tc>
        <w:tc>
          <w:tcPr/>
          <w:p>
            <w:pPr>
              <w:pStyle w:val="Compact"/>
              <w:jc w:val="left"/>
            </w:pPr>
            <w:r>
              <w:rPr>
                <w:bCs/>
                <w:b/>
              </w:rPr>
              <w:t xml:space="preserve">100%</w:t>
            </w:r>
          </w:p>
        </w:tc>
        <w:tc>
          <w:tcPr/>
          <w:p>
            <w:pPr>
              <w:pStyle w:val="Compact"/>
              <w:jc w:val="left"/>
            </w:pPr>
            <w:r>
              <w:rPr>
                <w:bCs/>
                <w:b/>
              </w:rPr>
              <w:t xml:space="preserve">9.3</w:t>
            </w:r>
          </w:p>
        </w:tc>
        <w:tc>
          <w:tcPr/>
          <w:p>
            <w:pPr>
              <w:pStyle w:val="Compact"/>
              <w:jc w:val="left"/>
            </w:pPr>
            <w:r>
              <w:rPr>
                <w:bCs/>
                <w:b/>
              </w:rPr>
              <w:t xml:space="preserve">Pass</w:t>
            </w:r>
          </w:p>
        </w:tc>
      </w:tr>
    </w:tbl>
    <w:bookmarkEnd w:id="28"/>
    <w:bookmarkStart w:id="31" w:name="recommendations-and-conclusion"/>
    <w:p>
      <w:pPr>
        <w:pStyle w:val="Heading2"/>
      </w:pPr>
      <w:r>
        <w:t xml:space="preserve">7. Recommendations and Conclusion</w:t>
      </w:r>
    </w:p>
    <w:bookmarkStart w:id="29" w:name="final-verdict"/>
    <w:p>
      <w:pPr>
        <w:pStyle w:val="Heading3"/>
      </w:pPr>
      <w:r>
        <w:t xml:space="preserve">Final Verdict</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Orthodontist</w:t>
      </w:r>
      <w:r>
        <w:t xml:space="preserve"> </w:t>
      </w:r>
      <w:r>
        <w:t xml:space="preserve">under review has demonstrated a high standard of clinical competence, professional integrity, and adherence to safety protocols. The practice is fully compliant with the regulatory requirements of the</w:t>
      </w:r>
      <w:r>
        <w:t xml:space="preserve"> </w:t>
      </w:r>
      <w:r>
        <w:rPr>
          <w:bCs/>
          <w:b/>
        </w:rPr>
        <w:t xml:space="preserve">Saudi Commission for Health Specialties (SCFHS)</w:t>
      </w:r>
      <w:r>
        <w:t xml:space="preserve"> </w:t>
      </w:r>
      <w:r>
        <w:t xml:space="preserve">and is well-positioned to serve the community in</w:t>
      </w:r>
      <w:r>
        <w:t xml:space="preserve"> </w:t>
      </w:r>
      <w:r>
        <w:rPr>
          <w:bCs/>
          <w:b/>
        </w:rPr>
        <w:t xml:space="preserve">Riyadh, Saudi Arabia</w:t>
      </w:r>
      <w:r>
        <w:t xml:space="preserve">.</w:t>
      </w:r>
    </w:p>
    <w:bookmarkEnd w:id="29"/>
    <w:bookmarkStart w:id="30" w:name="areas-for-improvement"/>
    <w:p>
      <w:pPr>
        <w:pStyle w:val="Heading3"/>
      </w:pPr>
      <w:r>
        <w:t xml:space="preserve">Areas for Improvement</w:t>
      </w:r>
    </w:p>
    <w:p>
      <w:pPr>
        <w:pStyle w:val="FirstParagraph"/>
      </w:pPr>
      <w:r>
        <w:t xml:space="preserve">While the overall performance is excellent, the following minor recommendations are suggested for continuous quality improvement:</w:t>
      </w:r>
    </w:p>
    <w:p>
      <w:pPr>
        <w:numPr>
          <w:ilvl w:val="0"/>
          <w:numId w:val="1002"/>
        </w:numPr>
        <w:pStyle w:val="Compact"/>
      </w:pPr>
      <w:r>
        <w:rPr>
          <w:bCs/>
          <w:b/>
        </w:rPr>
        <w:t xml:space="preserve">Digital Integration:</w:t>
      </w:r>
      <w:r>
        <w:t xml:space="preserve"> </w:t>
      </w:r>
      <w:r>
        <w:t xml:space="preserve">Further integration of AI-assisted treatment planning tools could enhance efficiency and predictability.</w:t>
      </w:r>
    </w:p>
    <w:p>
      <w:pPr>
        <w:numPr>
          <w:ilvl w:val="0"/>
          <w:numId w:val="1002"/>
        </w:numPr>
        <w:pStyle w:val="Compact"/>
      </w:pPr>
      <w:r>
        <w:rPr>
          <w:bCs/>
          <w:b/>
        </w:rPr>
        <w:t xml:space="preserve">Patient Education:</w:t>
      </w:r>
      <w:r>
        <w:t xml:space="preserve"> </w:t>
      </w:r>
      <w:r>
        <w:t xml:space="preserve">Developing video-based educational materials in Arabic could further enhance patient understanding of home care instructions.</w:t>
      </w:r>
    </w:p>
    <w:bookmarkEnd w:id="30"/>
    <w:bookmarkEnd w:id="31"/>
    <w:p>
      <w:pPr>
        <w:pStyle w:val="FirstParagraph"/>
      </w:pPr>
      <w:r>
        <w:rPr>
          <w:bCs/>
          <w:b/>
        </w:rPr>
        <w:t xml:space="preserve">Reviewed By:</w:t>
      </w:r>
    </w:p>
    <w:p>
      <w:pPr>
        <w:pStyle w:val="BodyText"/>
      </w:pPr>
      <w:r>
        <w:t xml:space="preserve">Dr. Ahmed Al-Fahad</w:t>
      </w:r>
    </w:p>
    <w:p>
      <w:pPr>
        <w:pStyle w:val="BodyText"/>
      </w:pPr>
      <w:r>
        <w:t xml:space="preserve">Senior Orthodontic Consultant</w:t>
      </w:r>
    </w:p>
    <w:p>
      <w:pPr>
        <w:pStyle w:val="BodyText"/>
      </w:pPr>
      <w:r>
        <w:t xml:space="preserve">Peer Review Committee</w:t>
      </w:r>
    </w:p>
    <w:p>
      <w:pPr>
        <w:pStyle w:val="BodyText"/>
      </w:pPr>
      <w:r>
        <w:rPr>
          <w:bCs/>
          <w:b/>
        </w:rPr>
        <w:t xml:space="preserve">Approved By:</w:t>
      </w:r>
    </w:p>
    <w:p>
      <w:pPr>
        <w:pStyle w:val="BodyText"/>
      </w:pPr>
      <w:r>
        <w:t xml:space="preserve">Dr. Sarah Al-Saud</w:t>
      </w:r>
    </w:p>
    <w:p>
      <w:pPr>
        <w:pStyle w:val="BodyText"/>
      </w:pPr>
      <w:r>
        <w:t xml:space="preserve">Head of Quality Assurance</w:t>
      </w:r>
    </w:p>
    <w:p>
      <w:pPr>
        <w:pStyle w:val="BodyText"/>
      </w:pPr>
      <w:r>
        <w:t xml:space="preserve">Riyadh Dental Association</w:t>
      </w:r>
    </w:p>
    <w:p>
      <w:pPr>
        <w:pStyle w:val="BodyText"/>
      </w:pPr>
      <w:r>
        <w:t xml:space="preserve">© 2023 Peer Review Committee. Confidential Document. Intended for internal use and regulatory compliance within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