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Orthodontic</w:t>
      </w:r>
      <w:r>
        <w:t xml:space="preserve"> </w:t>
      </w:r>
      <w:r>
        <w:t xml:space="preserve">Practice</w:t>
      </w:r>
      <w:r>
        <w:t xml:space="preserve"> </w:t>
      </w:r>
      <w:r>
        <w:t xml:space="preserve">Evaluation</w:t>
      </w:r>
    </w:p>
    <w:bookmarkStart w:id="20" w:name="peer-review-report"/>
    <w:p>
      <w:pPr>
        <w:pStyle w:val="Heading1"/>
      </w:pPr>
      <w:r>
        <w:t xml:space="preserve">Peer Review Report</w:t>
      </w:r>
    </w:p>
    <w:p>
      <w:pPr>
        <w:pStyle w:val="FirstParagraph"/>
      </w:pPr>
      <w:r>
        <w:t xml:space="preserve">Report ID:</w:t>
      </w:r>
      <w:r>
        <w:t xml:space="preserve"> </w:t>
      </w:r>
      <w:r>
        <w:t xml:space="preserve">PR-2023-LA-8942</w:t>
      </w:r>
    </w:p>
    <w:p>
      <w:pPr>
        <w:pStyle w:val="BodyText"/>
      </w:pPr>
      <w:r>
        <w:t xml:space="preserve">Date of Review:</w:t>
      </w:r>
      <w:r>
        <w:t xml:space="preserve"> </w:t>
      </w:r>
      <w:r>
        <w:t xml:space="preserve">October 24, 2023</w:t>
      </w:r>
    </w:p>
    <w:p>
      <w:pPr>
        <w:pStyle w:val="BodyText"/>
      </w:pPr>
      <w:r>
        <w:t xml:space="preserve">Jurisdiction:</w:t>
      </w:r>
      <w:r>
        <w:t xml:space="preserve"> </w:t>
      </w:r>
      <w:r>
        <w:t xml:space="preserve">United States, Los Angeles County</w:t>
      </w:r>
    </w:p>
    <w:p>
      <w:pPr>
        <w:pStyle w:val="BodyText"/>
      </w:pPr>
      <w:r>
        <w:t xml:space="preserve">Specialty:</w:t>
      </w:r>
      <w:r>
        <w:t xml:space="preserve"> </w:t>
      </w:r>
      <w:r>
        <w:t xml:space="preserve">Orthodontics and Dentofacial Orthopedics</w:t>
      </w:r>
    </w:p>
    <w:bookmarkEnd w:id="20"/>
    <w:p>
      <w:pPr>
        <w:pStyle w:val="BodyText"/>
      </w:pPr>
      <w:r>
        <w:rPr>
          <w:bCs/>
          <w:b/>
        </w:rPr>
        <w:t xml:space="preserve">CONFIDENTIALITY NOTICE:</w:t>
      </w:r>
      <w:r>
        <w:t xml:space="preserve"> </w:t>
      </w:r>
      <w:r>
        <w:t xml:space="preserve">This document contains privileged peer review information protected under California Medical Practice Act and applicable federal regulations. Unauthorized disclosure is strictly prohibited.</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clinical competency, ethical conduct, and operational standards of a specific</w:t>
      </w:r>
      <w:r>
        <w:t xml:space="preserve"> </w:t>
      </w:r>
      <w:r>
        <w:rPr>
          <w:bCs/>
          <w:b/>
        </w:rPr>
        <w:t xml:space="preserve">Orthodontist</w:t>
      </w:r>
      <w:r>
        <w:t xml:space="preserve"> </w:t>
      </w:r>
      <w:r>
        <w:t xml:space="preserve">practicing within the metropolitan area of</w:t>
      </w:r>
      <w:r>
        <w:t xml:space="preserve"> </w:t>
      </w:r>
      <w:r>
        <w:rPr>
          <w:bCs/>
          <w:b/>
        </w:rPr>
        <w:t xml:space="preserve">United States Los Angeles</w:t>
      </w:r>
      <w:r>
        <w:t xml:space="preserve">. The review was initiated following a routine quality assurance audit mandated by the local dental society. The objective was to determine if the practitioner's methods align with the current standard of care recognized by the American Association of Orthodontists (AAO) and the California Dental Board.</w:t>
      </w:r>
    </w:p>
    <w:p>
      <w:pPr>
        <w:pStyle w:val="BodyText"/>
      </w:pPr>
      <w:r>
        <w:t xml:space="preserve">The evaluation encompasses a comprehensive analysis of patient records, radiographic interpretations, treatment planning logic, and informed consent procedures. The findings presented herein reflect a detailed examination of the</w:t>
      </w:r>
      <w:r>
        <w:t xml:space="preserve"> </w:t>
      </w:r>
      <w:r>
        <w:rPr>
          <w:bCs/>
          <w:b/>
        </w:rPr>
        <w:t xml:space="preserve">Orthodontist</w:t>
      </w:r>
      <w:r>
        <w:t xml:space="preserve">'s performance over the preceding twelve months.</w:t>
      </w:r>
    </w:p>
    <w:bookmarkEnd w:id="21"/>
    <w:bookmarkStart w:id="22" w:name="scope-and-methodology"/>
    <w:p>
      <w:pPr>
        <w:pStyle w:val="Heading2"/>
      </w:pPr>
      <w:r>
        <w:t xml:space="preserve">2. Scope and Methodology</w:t>
      </w:r>
    </w:p>
    <w:p>
      <w:pPr>
        <w:pStyle w:val="FirstParagraph"/>
      </w:pPr>
      <w:r>
        <w:t xml:space="preserve">The review panel, consisting of three board-certified orthodontists from the Los Angeles region, utilized a retrospective chart audit methodology. A random sample of 50 active and completed cases was selected from the</w:t>
      </w:r>
      <w:r>
        <w:t xml:space="preserve"> </w:t>
      </w:r>
      <w:r>
        <w:rPr>
          <w:bCs/>
          <w:b/>
        </w:rPr>
        <w:t xml:space="preserve">Orthodontist</w:t>
      </w:r>
      <w:r>
        <w:t xml:space="preserve">'s practice in</w:t>
      </w:r>
      <w:r>
        <w:t xml:space="preserve"> </w:t>
      </w:r>
      <w:r>
        <w:rPr>
          <w:bCs/>
          <w:b/>
        </w:rPr>
        <w:t xml:space="preserve">United States Los Angeles</w:t>
      </w:r>
      <w:r>
        <w:t xml:space="preserve">. The selection criteria ensured a diverse representation of malocclusion types, including Class I, Class II, and Class III cases, as well as patients undergoing clear aligner therapy and fixed appliance treatment.</w:t>
      </w:r>
    </w:p>
    <w:p>
      <w:pPr>
        <w:pStyle w:val="BodyText"/>
      </w:pPr>
      <w:r>
        <w:t xml:space="preserve">The assessment focused on the following key performance indicators:</w:t>
      </w:r>
    </w:p>
    <w:p>
      <w:pPr>
        <w:numPr>
          <w:ilvl w:val="0"/>
          <w:numId w:val="1001"/>
        </w:numPr>
        <w:pStyle w:val="Compact"/>
      </w:pPr>
      <w:r>
        <w:t xml:space="preserve">Accuracy of initial diagnosis and cephalometric analysis.</w:t>
      </w:r>
    </w:p>
    <w:p>
      <w:pPr>
        <w:numPr>
          <w:ilvl w:val="0"/>
          <w:numId w:val="1001"/>
        </w:numPr>
        <w:pStyle w:val="Compact"/>
      </w:pPr>
      <w:r>
        <w:t xml:space="preserve">Appropriateness of the proposed treatment plan relative to the patient's age and skeletal maturity.</w:t>
      </w:r>
    </w:p>
    <w:p>
      <w:pPr>
        <w:numPr>
          <w:ilvl w:val="0"/>
          <w:numId w:val="1001"/>
        </w:numPr>
        <w:pStyle w:val="Compact"/>
      </w:pPr>
      <w:r>
        <w:t xml:space="preserve">Adherence to infection control protocols specific to California health codes.</w:t>
      </w:r>
    </w:p>
    <w:p>
      <w:pPr>
        <w:numPr>
          <w:ilvl w:val="0"/>
          <w:numId w:val="1001"/>
        </w:numPr>
        <w:pStyle w:val="Compact"/>
      </w:pPr>
      <w:r>
        <w:t xml:space="preserve">Quality of documentation regarding patient communication and consent.</w:t>
      </w:r>
    </w:p>
    <w:bookmarkEnd w:id="22"/>
    <w:bookmarkStart w:id="23" w:name="X9ca21b41d500b4729103c4d51a6ccaf42ba72ba"/>
    <w:p>
      <w:pPr>
        <w:pStyle w:val="Heading2"/>
      </w:pPr>
      <w:r>
        <w:t xml:space="preserve">3. Clinical Competency and Treatment Planning</w:t>
      </w:r>
    </w:p>
    <w:p>
      <w:pPr>
        <w:pStyle w:val="FirstParagraph"/>
      </w:pPr>
      <w:r>
        <w:t xml:space="preserve">The</w:t>
      </w:r>
      <w:r>
        <w:t xml:space="preserve"> </w:t>
      </w:r>
      <w:r>
        <w:rPr>
          <w:bCs/>
          <w:b/>
        </w:rPr>
        <w:t xml:space="preserve">Orthodontist</w:t>
      </w:r>
      <w:r>
        <w:t xml:space="preserve"> </w:t>
      </w:r>
      <w:r>
        <w:t xml:space="preserve">demonstrated a high level of clinical proficiency in the diagnosis of dentofacial anomalies. The review of cephalometric tracings and panoramic radiographs indicated that the diagnostic interpretations were consistent with contemporary orthodontic literature. In the context of</w:t>
      </w:r>
      <w:r>
        <w:t xml:space="preserve"> </w:t>
      </w:r>
      <w:r>
        <w:rPr>
          <w:bCs/>
          <w:b/>
        </w:rPr>
        <w:t xml:space="preserve">United States Los Angeles</w:t>
      </w:r>
      <w:r>
        <w:t xml:space="preserve">, where cosmetic dentistry and orthodontic aesthetics are highly prioritized, the practitioner showed a commendable ability to integrate functional occlusion with aesthetic outcomes.</w:t>
      </w:r>
    </w:p>
    <w:p>
      <w:pPr>
        <w:pStyle w:val="BodyText"/>
      </w:pPr>
      <w:r>
        <w:t xml:space="preserve">Treatment plans were found to be logical and well-structured. The</w:t>
      </w:r>
      <w:r>
        <w:t xml:space="preserve"> </w:t>
      </w:r>
      <w:r>
        <w:rPr>
          <w:bCs/>
          <w:b/>
        </w:rPr>
        <w:t xml:space="preserve">Orthodontist</w:t>
      </w:r>
      <w:r>
        <w:t xml:space="preserve"> </w:t>
      </w:r>
      <w:r>
        <w:t xml:space="preserve">appropriately utilized auxiliary appliances, such as temporary anchorage devices (TADs), to achieve complex tooth movements without compromising periodontal health. The panel noted that the biomechanical strategies employed were efficient, minimizing unnecessary treatment duration. This efficiency is particularly relevant in a fast-paced urban environment like Los Angeles, where patient compliance and scheduling are critical factors.</w:t>
      </w:r>
    </w:p>
    <w:bookmarkEnd w:id="23"/>
    <w:bookmarkStart w:id="24" w:name="patient-care-and-communication"/>
    <w:p>
      <w:pPr>
        <w:pStyle w:val="Heading2"/>
      </w:pPr>
      <w:r>
        <w:t xml:space="preserve">4. Patient Care and Communication</w:t>
      </w:r>
    </w:p>
    <w:p>
      <w:pPr>
        <w:pStyle w:val="FirstParagraph"/>
      </w:pPr>
      <w:r>
        <w:t xml:space="preserve">A critical component of this</w:t>
      </w:r>
      <w:r>
        <w:t xml:space="preserve"> </w:t>
      </w:r>
      <w:r>
        <w:rPr>
          <w:bCs/>
          <w:b/>
        </w:rPr>
        <w:t xml:space="preserve">Peer Review Report</w:t>
      </w:r>
      <w:r>
        <w:t xml:space="preserve"> </w:t>
      </w:r>
      <w:r>
        <w:t xml:space="preserve">is the evaluation of patient interaction. The</w:t>
      </w:r>
      <w:r>
        <w:t xml:space="preserve"> </w:t>
      </w:r>
      <w:r>
        <w:rPr>
          <w:bCs/>
          <w:b/>
        </w:rPr>
        <w:t xml:space="preserve">Orthodontist</w:t>
      </w:r>
      <w:r>
        <w:t xml:space="preserve"> </w:t>
      </w:r>
      <w:r>
        <w:t xml:space="preserve">was observed to maintain a professional and empathetic demeanor. Documentation in the patient files revealed thorough explanations of treatment risks, benefits, and alternatives. This is essential for maintaining valid informed consent, a legal requirement in the</w:t>
      </w:r>
      <w:r>
        <w:t xml:space="preserve"> </w:t>
      </w:r>
      <w:r>
        <w:rPr>
          <w:bCs/>
          <w:b/>
        </w:rPr>
        <w:t xml:space="preserve">United States</w:t>
      </w:r>
      <w:r>
        <w:t xml:space="preserve">.</w:t>
      </w:r>
    </w:p>
    <w:p>
      <w:pPr>
        <w:pStyle w:val="BodyText"/>
      </w:pPr>
      <w:r>
        <w:t xml:space="preserve">The review highlighted the</w:t>
      </w:r>
      <w:r>
        <w:t xml:space="preserve"> </w:t>
      </w:r>
      <w:r>
        <w:rPr>
          <w:bCs/>
          <w:b/>
        </w:rPr>
        <w:t xml:space="preserve">Orthodontist</w:t>
      </w:r>
      <w:r>
        <w:t xml:space="preserve">'s ability to manage patient expectations regarding treatment outcomes. In several complex cases involving skeletal discrepancies, the practitioner clearly documented the limitations of orthodontic treatment alone and the potential need for orthognathic surgery. This transparency fosters trust and reduces the likelihood of malpractice disputes.</w:t>
      </w:r>
    </w:p>
    <w:bookmarkEnd w:id="24"/>
    <w:bookmarkStart w:id="25" w:name="compliance-and-regulatory-standards"/>
    <w:p>
      <w:pPr>
        <w:pStyle w:val="Heading2"/>
      </w:pPr>
      <w:r>
        <w:t xml:space="preserve">5. Compliance and Regulatory Standards</w:t>
      </w:r>
    </w:p>
    <w:p>
      <w:pPr>
        <w:pStyle w:val="FirstParagraph"/>
      </w:pPr>
      <w:r>
        <w:t xml:space="preserve">The practice was evaluated for compliance with regulations set forth by the California Dental Board. The</w:t>
      </w:r>
      <w:r>
        <w:t xml:space="preserve"> </w:t>
      </w:r>
      <w:r>
        <w:rPr>
          <w:bCs/>
          <w:b/>
        </w:rPr>
        <w:t xml:space="preserve">Orthodontist</w:t>
      </w:r>
      <w:r>
        <w:t xml:space="preserve"> </w:t>
      </w:r>
      <w:r>
        <w:t xml:space="preserve">maintained accurate records of continuing education credits, ensuring that their knowledge base remains current with evolving technologies in the field. The sterilization logs and infection control procedures were inspected and found to be in full compliance with state and federal guidelines.</w:t>
      </w:r>
    </w:p>
    <w:p>
      <w:pPr>
        <w:pStyle w:val="BodyText"/>
      </w:pPr>
      <w:r>
        <w:t xml:space="preserve">Furthermore, the billing practices were reviewed to ensure they were transparent and aligned with the treatment plans provided. No evidence of upcoding or fraudulent billing practices was detected. The</w:t>
      </w:r>
      <w:r>
        <w:t xml:space="preserve"> </w:t>
      </w:r>
      <w:r>
        <w:rPr>
          <w:bCs/>
          <w:b/>
        </w:rPr>
        <w:t xml:space="preserve">Orthodontist</w:t>
      </w:r>
      <w:r>
        <w:t xml:space="preserve"> </w:t>
      </w:r>
      <w:r>
        <w:t xml:space="preserve">adhered to ethical billing standards, which is crucial for maintaining the integrity of the profession in</w:t>
      </w:r>
      <w:r>
        <w:t xml:space="preserve"> </w:t>
      </w:r>
      <w:r>
        <w:rPr>
          <w:bCs/>
          <w:b/>
        </w:rPr>
        <w:t xml:space="preserve">United States Los Angeles</w:t>
      </w:r>
      <w:r>
        <w:t xml:space="preserve">.</w:t>
      </w:r>
    </w:p>
    <w:bookmarkEnd w:id="25"/>
    <w:bookmarkStart w:id="26"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panel offers the following recommendations for the</w:t>
      </w:r>
      <w:r>
        <w:t xml:space="preserve"> </w:t>
      </w:r>
      <w:r>
        <w:rPr>
          <w:bCs/>
          <w:b/>
        </w:rPr>
        <w:t xml:space="preserve">Orthodontist</w:t>
      </w:r>
      <w:r>
        <w:t xml:space="preserve">:</w:t>
      </w:r>
    </w:p>
    <w:p>
      <w:pPr>
        <w:numPr>
          <w:ilvl w:val="0"/>
          <w:numId w:val="1002"/>
        </w:numPr>
        <w:pStyle w:val="Compact"/>
      </w:pPr>
      <w:r>
        <w:rPr>
          <w:bCs/>
          <w:b/>
        </w:rPr>
        <w:t xml:space="preserve">Enhanced Digital Integration:</w:t>
      </w:r>
      <w:r>
        <w:t xml:space="preserve"> </w:t>
      </w:r>
      <w:r>
        <w:t xml:space="preserve">While the current use of digital imaging is adequate, the panel recommends further integration of AI-driven diagnostic tools to enhance treatment prediction accuracy.</w:t>
      </w:r>
    </w:p>
    <w:p>
      <w:pPr>
        <w:numPr>
          <w:ilvl w:val="0"/>
          <w:numId w:val="1002"/>
        </w:numPr>
        <w:pStyle w:val="Compact"/>
      </w:pPr>
      <w:r>
        <w:rPr>
          <w:bCs/>
          <w:b/>
        </w:rPr>
        <w:t xml:space="preserve">Periodontal Monitoring:</w:t>
      </w:r>
      <w:r>
        <w:t xml:space="preserve"> </w:t>
      </w:r>
      <w:r>
        <w:t xml:space="preserve">Increase the frequency of periodontal assessments for adult patients undergoing orthodontic treatment to mitigate risks associated with gingival recession.</w:t>
      </w:r>
    </w:p>
    <w:p>
      <w:pPr>
        <w:numPr>
          <w:ilvl w:val="0"/>
          <w:numId w:val="1002"/>
        </w:numPr>
        <w:pStyle w:val="Compact"/>
      </w:pPr>
      <w:r>
        <w:rPr>
          <w:bCs/>
          <w:b/>
        </w:rPr>
        <w:t xml:space="preserve">Documentation:</w:t>
      </w:r>
      <w:r>
        <w:t xml:space="preserve"> </w:t>
      </w:r>
      <w:r>
        <w:t xml:space="preserve">Continue the excellent standard of documentation, specifically ensuring that all patient communications regarding treatment modifications are recorded in real-time.</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Orthodontist</w:t>
      </w:r>
      <w:r>
        <w:t xml:space="preserve"> </w:t>
      </w:r>
      <w:r>
        <w:t xml:space="preserve">under review is providing care that meets or exceeds the standard of care expected in</w:t>
      </w:r>
      <w:r>
        <w:t xml:space="preserve"> </w:t>
      </w:r>
      <w:r>
        <w:rPr>
          <w:bCs/>
          <w:b/>
        </w:rPr>
        <w:t xml:space="preserve">United States Los Angeles</w:t>
      </w:r>
      <w:r>
        <w:t xml:space="preserve">. The practitioner demonstrates clinical excellence, ethical integrity, and a commitment to patient safety. The review panel finds no evidence of negligence or incompetence. The</w:t>
      </w:r>
      <w:r>
        <w:t xml:space="preserve"> </w:t>
      </w:r>
      <w:r>
        <w:rPr>
          <w:bCs/>
          <w:b/>
        </w:rPr>
        <w:t xml:space="preserve">Orthodontist</w:t>
      </w:r>
      <w:r>
        <w:t xml:space="preserve"> </w:t>
      </w:r>
      <w:r>
        <w:t xml:space="preserve">is cleared to continue their practice without restriction, pending the implementation of the minor recommendations outlined above.</w:t>
      </w:r>
    </w:p>
    <w:p>
      <w:pPr>
        <w:pStyle w:val="BodyText"/>
      </w:pPr>
      <w:r>
        <w:rPr>
          <w:bCs/>
          <w:b/>
        </w:rPr>
        <w:t xml:space="preserve">Review Panel Chairperson:</w:t>
      </w:r>
    </w:p>
    <w:p>
      <w:pPr>
        <w:pStyle w:val="BodyText"/>
      </w:pPr>
      <w:r>
        <w:t xml:space="preserve">Dr. James A. Sterling, DDS, MS</w:t>
      </w:r>
      <w:r>
        <w:br/>
      </w:r>
      <w:r>
        <w:t xml:space="preserve">Board Certified Orthodontist</w:t>
      </w:r>
      <w:r>
        <w:br/>
      </w:r>
      <w:r>
        <w:t xml:space="preserve">Los Angeles County Dental Society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Orthodontic Practice Evaluation</dc:title>
  <dc:creator/>
  <dc:language>en</dc:language>
  <cp:keywords/>
  <dcterms:created xsi:type="dcterms:W3CDTF">2026-10-10T05:52:58Z</dcterms:created>
  <dcterms:modified xsi:type="dcterms:W3CDTF">2026-10-10T05:52:58Z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