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Comprehensive Clinical Audit and Quality Assurance Assessment</w:t>
      </w:r>
    </w:p>
    <w:bookmarkEnd w:id="20"/>
    <w:p>
      <w:pPr>
        <w:pStyle w:val="BodyText"/>
      </w:pPr>
      <w:r>
        <w:rPr>
          <w:bCs/>
          <w:b/>
        </w:rPr>
        <w:t xml:space="preserve">Subject Specialty:</w:t>
      </w:r>
      <w:r>
        <w:t xml:space="preserve"> </w:t>
      </w:r>
      <w:r>
        <w:t xml:space="preserve">Orthodontics</w:t>
      </w:r>
    </w:p>
    <w:p>
      <w:pPr>
        <w:pStyle w:val="BodyText"/>
      </w:pPr>
      <w:r>
        <w:rPr>
          <w:bCs/>
          <w:b/>
        </w:rPr>
        <w:t xml:space="preserve">Location of Practice:</w:t>
      </w:r>
      <w:r>
        <w:t xml:space="preserve"> </w:t>
      </w:r>
      <w:r>
        <w:t xml:space="preserve">Tashkent, Uzbekistan</w:t>
      </w:r>
    </w:p>
    <w:p>
      <w:pPr>
        <w:pStyle w:val="BodyText"/>
      </w:pPr>
      <w:r>
        <w:rPr>
          <w:bCs/>
          <w:b/>
        </w:rPr>
        <w:t xml:space="preserve">Review Date:</w:t>
      </w:r>
      <w:r>
        <w:t xml:space="preserve"> </w:t>
      </w:r>
      <w:r>
        <w:t xml:space="preserve">October 24, 2023</w:t>
      </w:r>
    </w:p>
    <w:p>
      <w:pPr>
        <w:pStyle w:val="BodyText"/>
      </w:pPr>
      <w:r>
        <w:rPr>
          <w:bCs/>
          <w:b/>
        </w:rPr>
        <w:t xml:space="preserve">Report ID:</w:t>
      </w:r>
      <w:r>
        <w:t xml:space="preserve"> </w:t>
      </w:r>
      <w:r>
        <w:t xml:space="preserve">UZ-TSK-ORTHO-2023-089</w:t>
      </w:r>
    </w:p>
    <w:p>
      <w:pPr>
        <w:pStyle w:val="BodyText"/>
      </w:pPr>
      <w:r>
        <w:rPr>
          <w:bCs/>
          <w:b/>
        </w:rPr>
        <w:t xml:space="preserve">Reviewer Panel:</w:t>
      </w:r>
      <w:r>
        <w:t xml:space="preserve"> </w:t>
      </w:r>
      <w:r>
        <w:t xml:space="preserve">Independent Board of Dental Specialists</w:t>
      </w:r>
    </w:p>
    <w:p>
      <w:pPr>
        <w:pStyle w:val="BodyText"/>
      </w:pPr>
      <w:r>
        <w:rPr>
          <w:bCs/>
          <w:b/>
        </w:rPr>
        <w:t xml:space="preserve">Regulatory Framework:</w:t>
      </w:r>
      <w:r>
        <w:t xml:space="preserve"> </w:t>
      </w:r>
      <w:r>
        <w:t xml:space="preserve">Ministry of Health of the Republic of Uzbekistan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efficacy, ethical standards, and operational compliance of an</w:t>
      </w:r>
      <w:r>
        <w:t xml:space="preserve"> </w:t>
      </w:r>
      <w:r>
        <w:rPr>
          <w:bCs/>
          <w:b/>
        </w:rPr>
        <w:t xml:space="preserve">Orthodontist</w:t>
      </w:r>
      <w:r>
        <w:t xml:space="preserve"> </w:t>
      </w:r>
      <w:r>
        <w:t xml:space="preserve">practicing within the metropolitan area of</w:t>
      </w:r>
      <w:r>
        <w:t xml:space="preserve"> </w:t>
      </w:r>
      <w:r>
        <w:rPr>
          <w:bCs/>
          <w:b/>
        </w:rPr>
        <w:t xml:space="preserve">Tashkent, Uzbekistan</w:t>
      </w:r>
      <w:r>
        <w:t xml:space="preserve">. The rapid modernization of the healthcare sector in Uzbekistan has led to a surge in demand for specialized dental care, particularly in orthodontics. Consequently, maintaining rigorous standards of care is paramount. This document serves as a formal assessment of the practitioner's adherence to international best practices while respecting local regulatory requirements established by the Ministry of Health of the Republic of Uzbekistan.</w:t>
      </w:r>
    </w:p>
    <w:bookmarkEnd w:id="21"/>
    <w:bookmarkStart w:id="22" w:name="introduction-and-scope"/>
    <w:p>
      <w:pPr>
        <w:pStyle w:val="Heading2"/>
      </w:pPr>
      <w:r>
        <w:t xml:space="preserve">2. Introduction and Scope</w:t>
      </w:r>
    </w:p>
    <w:p>
      <w:pPr>
        <w:pStyle w:val="FirstParagraph"/>
      </w:pPr>
      <w:r>
        <w:t xml:space="preserve">The scope of this review encompasses a detailed analysis of patient records, clinical outcomes, infection control protocols, and patient communication strategies. The review focuses specifically on the management of malocclusion cases, including the application of fixed appliances, clear aligner therapy, and functional orthopedic devices. Given the diverse demographic of</w:t>
      </w:r>
      <w:r>
        <w:t xml:space="preserve"> </w:t>
      </w:r>
      <w:r>
        <w:rPr>
          <w:bCs/>
          <w:b/>
        </w:rPr>
        <w:t xml:space="preserve">Tashkent</w:t>
      </w:r>
      <w:r>
        <w:t xml:space="preserve">, the report also assesses the</w:t>
      </w:r>
      <w:r>
        <w:t xml:space="preserve"> </w:t>
      </w:r>
      <w:r>
        <w:rPr>
          <w:bCs/>
          <w:b/>
        </w:rPr>
        <w:t xml:space="preserve">Orthodontist</w:t>
      </w:r>
      <w:r>
        <w:t xml:space="preserve">'s ability to provide culturally competent care and effective communication in both Uzbek and Russian languages, which are prevalent in the region.</w:t>
      </w:r>
    </w:p>
    <w:p>
      <w:pPr>
        <w:pStyle w:val="BodyText"/>
      </w:pPr>
      <w:r>
        <w:t xml:space="preserve">The primary objective is to ensure that the standard of care provided aligns with the expectations of a modern medical hub like Tashkent, fostering trust among patients and ensuring long-term oral health stability.</w:t>
      </w:r>
    </w:p>
    <w:bookmarkEnd w:id="22"/>
    <w:bookmarkStart w:id="23" w:name="Xef1a2fdbbe33056f5dead11e8d59f56c3e4a55b"/>
    <w:p>
      <w:pPr>
        <w:pStyle w:val="Heading2"/>
      </w:pPr>
      <w:r>
        <w:t xml:space="preserve">3. Clinical Competence and Treatment Planning</w:t>
      </w:r>
    </w:p>
    <w:p>
      <w:pPr>
        <w:pStyle w:val="FirstParagraph"/>
      </w:pPr>
      <w:r>
        <w:t xml:space="preserve">A critical component of this</w:t>
      </w:r>
      <w:r>
        <w:t xml:space="preserve"> </w:t>
      </w:r>
      <w:r>
        <w:rPr>
          <w:bCs/>
          <w:b/>
        </w:rPr>
        <w:t xml:space="preserve">Peer Review Report</w:t>
      </w:r>
      <w:r>
        <w:t xml:space="preserve"> </w:t>
      </w:r>
      <w:r>
        <w:t xml:space="preserve">is the evaluation of diagnostic accuracy and treatment planning. The reviewed</w:t>
      </w:r>
      <w:r>
        <w:t xml:space="preserve"> </w:t>
      </w:r>
      <w:r>
        <w:rPr>
          <w:bCs/>
          <w:b/>
        </w:rPr>
        <w:t xml:space="preserve">Orthodontist</w:t>
      </w:r>
      <w:r>
        <w:t xml:space="preserve"> </w:t>
      </w:r>
      <w:r>
        <w:t xml:space="preserve">demonstrated a high level of proficiency in utilizing diagnostic tools, including panoramic radiographs, cephalometric analysis, and digital intraoral scanning. The integration of digital technology is increasingly common in</w:t>
      </w:r>
      <w:r>
        <w:t xml:space="preserve"> </w:t>
      </w:r>
      <w:r>
        <w:rPr>
          <w:bCs/>
          <w:b/>
        </w:rPr>
        <w:t xml:space="preserve">Tashkent</w:t>
      </w:r>
      <w:r>
        <w:t xml:space="preserve">'s leading clinics, and the practitioner's adoption of these tools reflects a commitment to precision.</w:t>
      </w:r>
    </w:p>
    <w:p>
      <w:pPr>
        <w:pStyle w:val="BodyText"/>
      </w:pPr>
      <w:r>
        <w:t xml:space="preserve">Case files were audited to verify that treatment plans were evidence-based. The review found that the</w:t>
      </w:r>
      <w:r>
        <w:t xml:space="preserve"> </w:t>
      </w:r>
      <w:r>
        <w:rPr>
          <w:bCs/>
          <w:b/>
        </w:rPr>
        <w:t xml:space="preserve">Orthodontist</w:t>
      </w:r>
      <w:r>
        <w:t xml:space="preserve"> </w:t>
      </w:r>
      <w:r>
        <w:t xml:space="preserve">consistently provided comprehensive treatment options to patients, explaining the risks, benefits, and alternatives associated with different modalities. This is particularly important in the Uzbek context, where patient education regarding the long-term commitment of orthodontic treatment is essential for compliance.</w:t>
      </w:r>
    </w:p>
    <w:bookmarkEnd w:id="23"/>
    <w:bookmarkStart w:id="24" w:name="infection-control-and-safety-standards"/>
    <w:p>
      <w:pPr>
        <w:pStyle w:val="Heading2"/>
      </w:pPr>
      <w:r>
        <w:t xml:space="preserve">4. Infection Control and Safety Standards</w:t>
      </w:r>
    </w:p>
    <w:p>
      <w:pPr>
        <w:pStyle w:val="FirstParagraph"/>
      </w:pPr>
      <w:r>
        <w:t xml:space="preserve">Infection control is a non-negotiable aspect of dental practice. This review assessed the clinic's adherence to the biosafety protocols mandated by the health authorities in</w:t>
      </w:r>
      <w:r>
        <w:t xml:space="preserve"> </w:t>
      </w:r>
      <w:r>
        <w:rPr>
          <w:bCs/>
          <w:b/>
        </w:rPr>
        <w:t xml:space="preserve">Uzbekistan</w:t>
      </w:r>
      <w:r>
        <w:t xml:space="preserve">. The</w:t>
      </w:r>
      <w:r>
        <w:t xml:space="preserve"> </w:t>
      </w:r>
      <w:r>
        <w:rPr>
          <w:bCs/>
          <w:b/>
        </w:rPr>
        <w:t xml:space="preserve">Orthodontist</w:t>
      </w:r>
      <w:r>
        <w:t xml:space="preserve"> </w:t>
      </w:r>
      <w:r>
        <w:t xml:space="preserve">and their support staff were observed maintaining strict sterilization procedures for all instruments. The use of autoclaves, barrier protection, and proper waste disposal was verified.</w:t>
      </w:r>
    </w:p>
    <w:p>
      <w:pPr>
        <w:pStyle w:val="BodyText"/>
      </w:pPr>
      <w:r>
        <w:t xml:space="preserve">The facility in</w:t>
      </w:r>
      <w:r>
        <w:t xml:space="preserve"> </w:t>
      </w:r>
      <w:r>
        <w:rPr>
          <w:bCs/>
          <w:b/>
        </w:rPr>
        <w:t xml:space="preserve">Tashkent</w:t>
      </w:r>
      <w:r>
        <w:t xml:space="preserve"> </w:t>
      </w:r>
      <w:r>
        <w:t xml:space="preserve">meets the necessary hygiene standards required to prevent cross-contamination. The review panel noted that the clinic's layout facilitates efficient workflow while maintaining separation between clean and contaminated zones, a crucial factor in preventing hospital-acquired infections.</w:t>
      </w:r>
    </w:p>
    <w:bookmarkEnd w:id="24"/>
    <w:bookmarkStart w:id="25" w:name="patient-care-and-ethical-considerations"/>
    <w:p>
      <w:pPr>
        <w:pStyle w:val="Heading2"/>
      </w:pPr>
      <w:r>
        <w:t xml:space="preserve">5. Patient Care and Ethical Considerations</w:t>
      </w:r>
    </w:p>
    <w:p>
      <w:pPr>
        <w:pStyle w:val="FirstParagraph"/>
      </w:pPr>
      <w:r>
        <w:t xml:space="preserve">The ethical dimension of the</w:t>
      </w:r>
      <w:r>
        <w:t xml:space="preserve"> </w:t>
      </w:r>
      <w:r>
        <w:rPr>
          <w:bCs/>
          <w:b/>
        </w:rPr>
        <w:t xml:space="preserve">Orthodontist</w:t>
      </w:r>
      <w:r>
        <w:t xml:space="preserve">'s practice was scrutinized. This includes the handling of informed consent, confidentiality, and the management of patient expectations. In</w:t>
      </w:r>
      <w:r>
        <w:t xml:space="preserve"> </w:t>
      </w:r>
      <w:r>
        <w:rPr>
          <w:bCs/>
          <w:b/>
        </w:rPr>
        <w:t xml:space="preserve">Tashkent</w:t>
      </w:r>
      <w:r>
        <w:t xml:space="preserve">, where aesthetic dentistry is highly valued, there is a risk of over-promising results. This</w:t>
      </w:r>
      <w:r>
        <w:t xml:space="preserve"> </w:t>
      </w:r>
      <w:r>
        <w:rPr>
          <w:bCs/>
          <w:b/>
        </w:rPr>
        <w:t xml:space="preserve">Peer Review Report</w:t>
      </w:r>
      <w:r>
        <w:t xml:space="preserve"> </w:t>
      </w:r>
      <w:r>
        <w:t xml:space="preserve">confirms that the practitioner maintains realistic expectations with patients, providing honest prognoses regarding treatment duration and outcomes.</w:t>
      </w:r>
    </w:p>
    <w:p>
      <w:pPr>
        <w:pStyle w:val="BodyText"/>
      </w:pPr>
      <w:r>
        <w:t xml:space="preserve">Furthermore, the review highlights the importance of accessibility. The</w:t>
      </w:r>
      <w:r>
        <w:t xml:space="preserve"> </w:t>
      </w:r>
      <w:r>
        <w:rPr>
          <w:bCs/>
          <w:b/>
        </w:rPr>
        <w:t xml:space="preserve">Orthodontist</w:t>
      </w:r>
      <w:r>
        <w:t xml:space="preserve"> </w:t>
      </w:r>
      <w:r>
        <w:t xml:space="preserve">has implemented a scheduling system that accommodates the busy lifestyles of Tashkent residents, ensuring that emergency appointments for bracket breakages or wire injuries are handled promptly.</w:t>
      </w:r>
    </w:p>
    <w:bookmarkEnd w:id="25"/>
    <w:bookmarkStart w:id="26" w:name="X04cae3ad1b4d169ce40ee60ce8471b2a71e95ee"/>
    <w:p>
      <w:pPr>
        <w:pStyle w:val="Heading2"/>
      </w:pPr>
      <w:r>
        <w:t xml:space="preserve">6. Recommendations for Continuous Improvement</w:t>
      </w:r>
    </w:p>
    <w:p>
      <w:pPr>
        <w:pStyle w:val="FirstParagraph"/>
      </w:pPr>
      <w:r>
        <w:t xml:space="preserve">While the overall assessment is positive, this</w:t>
      </w:r>
      <w:r>
        <w:t xml:space="preserve"> </w:t>
      </w:r>
      <w:r>
        <w:rPr>
          <w:bCs/>
          <w:b/>
        </w:rPr>
        <w:t xml:space="preserve">Peer Review Report</w:t>
      </w:r>
      <w:r>
        <w:t xml:space="preserve"> </w:t>
      </w:r>
      <w:r>
        <w:t xml:space="preserve">offers several recommendations to further elevate the standard of care:</w:t>
      </w:r>
    </w:p>
    <w:p>
      <w:pPr>
        <w:numPr>
          <w:ilvl w:val="0"/>
          <w:numId w:val="1001"/>
        </w:numPr>
        <w:pStyle w:val="Compact"/>
      </w:pPr>
      <w:r>
        <w:rPr>
          <w:bCs/>
          <w:b/>
        </w:rPr>
        <w:t xml:space="preserve">Advanced Training:</w:t>
      </w:r>
      <w:r>
        <w:t xml:space="preserve"> </w:t>
      </w:r>
      <w:r>
        <w:t xml:space="preserve">It is recommended that the</w:t>
      </w:r>
      <w:r>
        <w:t xml:space="preserve"> </w:t>
      </w:r>
      <w:r>
        <w:rPr>
          <w:bCs/>
          <w:b/>
        </w:rPr>
        <w:t xml:space="preserve">Orthodontist</w:t>
      </w:r>
      <w:r>
        <w:t xml:space="preserve"> </w:t>
      </w:r>
      <w:r>
        <w:t xml:space="preserve">pursue continuing education in interdisciplinary dentistry, collaborating with prosthodontists and oral surgeons in</w:t>
      </w:r>
      <w:r>
        <w:t xml:space="preserve"> </w:t>
      </w:r>
      <w:r>
        <w:rPr>
          <w:bCs/>
          <w:b/>
        </w:rPr>
        <w:t xml:space="preserve">Tashkent</w:t>
      </w:r>
      <w:r>
        <w:t xml:space="preserve"> </w:t>
      </w:r>
      <w:r>
        <w:t xml:space="preserve">for complex cases.</w:t>
      </w:r>
    </w:p>
    <w:p>
      <w:pPr>
        <w:numPr>
          <w:ilvl w:val="0"/>
          <w:numId w:val="1001"/>
        </w:numPr>
        <w:pStyle w:val="Compact"/>
      </w:pPr>
      <w:r>
        <w:rPr>
          <w:bCs/>
          <w:b/>
        </w:rPr>
        <w:t xml:space="preserve">Digital Integration:</w:t>
      </w:r>
      <w:r>
        <w:t xml:space="preserve"> </w:t>
      </w:r>
      <w:r>
        <w:t xml:space="preserve">Further investment in AI-driven treatment planning software could enhance diagnostic accuracy and patient visualization.</w:t>
      </w:r>
    </w:p>
    <w:p>
      <w:pPr>
        <w:numPr>
          <w:ilvl w:val="0"/>
          <w:numId w:val="1001"/>
        </w:numPr>
        <w:pStyle w:val="Compact"/>
      </w:pPr>
      <w:r>
        <w:rPr>
          <w:bCs/>
          <w:b/>
        </w:rPr>
        <w:t xml:space="preserve">Community Outreach:</w:t>
      </w:r>
      <w:r>
        <w:t xml:space="preserve"> </w:t>
      </w:r>
      <w:r>
        <w:t xml:space="preserve">Engaging in public health initiatives in Uzbekistan to promote early orthodontic intervention in children would benefit the broader community.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under review is providing a high standard of clinical care in</w:t>
      </w:r>
      <w:r>
        <w:t xml:space="preserve"> </w:t>
      </w:r>
      <w:r>
        <w:rPr>
          <w:bCs/>
          <w:b/>
        </w:rPr>
        <w:t xml:space="preserve">Tashkent, Uzbekistan</w:t>
      </w:r>
      <w:r>
        <w:t xml:space="preserve">. The practitioner demonstrates technical excellence, ethical integrity, and a commitment to patient safety. By adhering to the recommendations outlined in this document, the practice will continue to serve as a benchmark for orthodontic excellence in the region. The review panel is satisfied that the current level of care meets the rigorous demands of the modern healthcare landscape in Uzbekistan.</w:t>
      </w:r>
    </w:p>
    <w:p>
      <w:pPr>
        <w:pStyle w:val="BodyText"/>
      </w:pPr>
      <w:r>
        <w:rPr>
          <w:bCs/>
          <w:b/>
        </w:rPr>
        <w:t xml:space="preserve">Lead Reviewer:</w:t>
      </w:r>
    </w:p>
    <w:p>
      <w:pPr>
        <w:pStyle w:val="BodyText"/>
      </w:pPr>
      <w:r>
        <w:t xml:space="preserve">Dr. A. Karimov, DDS, MS</w:t>
      </w:r>
    </w:p>
    <w:p>
      <w:pPr>
        <w:pStyle w:val="BodyText"/>
      </w:pPr>
      <w:r>
        <w:t xml:space="preserve">Board Certified Orthodontist</w:t>
      </w:r>
    </w:p>
    <w:p>
      <w:pPr>
        <w:pStyle w:val="BodyText"/>
      </w:pPr>
      <w:r>
        <w:rPr>
          <w:bCs/>
          <w:b/>
        </w:rPr>
        <w:t xml:space="preserve">Quality Assurance Officer:</w:t>
      </w:r>
    </w:p>
    <w:p>
      <w:pPr>
        <w:pStyle w:val="BodyText"/>
      </w:pPr>
      <w:r>
        <w:t xml:space="preserve">E. Rahimova, MPH</w:t>
      </w:r>
    </w:p>
    <w:p>
      <w:pPr>
        <w:pStyle w:val="BodyText"/>
      </w:pPr>
      <w:r>
        <w:t xml:space="preserve">Healthcare Compliance Specialist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Tashkent, Uzbekistan</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