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Pharmacist</w:t>
      </w:r>
      <w:r>
        <w:t xml:space="preserve"> </w:t>
      </w:r>
      <w:r>
        <w:t xml:space="preserve">-</w:t>
      </w:r>
      <w:r>
        <w:t xml:space="preserve"> </w:t>
      </w:r>
      <w:r>
        <w:t xml:space="preserve">Australia</w:t>
      </w:r>
      <w:r>
        <w:t xml:space="preserve"> </w:t>
      </w:r>
      <w:r>
        <w:t xml:space="preserve">Melbourne</w:t>
      </w:r>
    </w:p>
    <w:bookmarkStart w:id="20" w:name="peer-review-report"/>
    <w:p>
      <w:pPr>
        <w:pStyle w:val="Heading1"/>
      </w:pPr>
      <w:r>
        <w:t xml:space="preserve">Peer Review Report</w:t>
      </w:r>
    </w:p>
    <w:p>
      <w:pPr>
        <w:pStyle w:val="FirstParagraph"/>
      </w:pPr>
      <w:r>
        <w:rPr>
          <w:bCs/>
          <w:b/>
        </w:rPr>
        <w:t xml:space="preserve">Profession:</w:t>
      </w:r>
      <w:r>
        <w:t xml:space="preserve"> </w:t>
      </w:r>
      <w:r>
        <w:t xml:space="preserve">Pharmacist</w:t>
      </w:r>
    </w:p>
    <w:p>
      <w:pPr>
        <w:pStyle w:val="BodyText"/>
      </w:pPr>
      <w:r>
        <w:rPr>
          <w:bCs/>
          <w:b/>
        </w:rPr>
        <w:t xml:space="preserve">Location:</w:t>
      </w:r>
      <w:r>
        <w:t xml:space="preserve"> </w:t>
      </w:r>
      <w:r>
        <w:t xml:space="preserve">Australia Melbourne</w:t>
      </w:r>
    </w:p>
    <w:p>
      <w:pPr>
        <w:pStyle w:val="BodyText"/>
      </w:pPr>
      <w:r>
        <w:rPr>
          <w:bCs/>
          <w:b/>
        </w:rPr>
        <w:t xml:space="preserve">Date of Report:</w:t>
      </w:r>
      <w:r>
        <w:t xml:space="preserve"> </w:t>
      </w:r>
      <w:r>
        <w:t xml:space="preserve">[Insert Date]</w:t>
      </w:r>
    </w:p>
    <w:bookmarkEnd w:id="20"/>
    <w:bookmarkStart w:id="21" w:name="introduction"/>
    <w:p>
      <w:pPr>
        <w:pStyle w:val="Heading2"/>
      </w:pPr>
      <w:r>
        <w:t xml:space="preserve">1. Introduction</w:t>
      </w:r>
    </w:p>
    <w:p>
      <w:pPr>
        <w:pStyle w:val="FirstParagraph"/>
      </w:pPr>
      <w:r>
        <w:t xml:space="preserve">This Peer Review Report has been prepared in accordance with the professional standards and regulatory requirements applicable to pharmacists practising in Australia Melbourne. The purpose of this report is to evaluate the clinical competence, professional conduct, and adherence to best practices of the pharmacist under review. The review process is conducted by a qualified peer reviewer who is also a registered pharmacist with relevant experience in the field.</w:t>
      </w:r>
    </w:p>
    <w:p>
      <w:pPr>
        <w:pStyle w:val="BodyText"/>
      </w:pPr>
      <w:r>
        <w:t xml:space="preserve">The review is aligned with the guidelines set forth by the Pharmacy Board of Australia and the Australian Pharmacy Council, ensuring that the assessment reflects the expectations for pharmacists working in Melbourne’s diverse healthcare environment.</w:t>
      </w:r>
    </w:p>
    <w:bookmarkEnd w:id="21"/>
    <w:bookmarkStart w:id="22" w:name="pharmacist-details"/>
    <w:p>
      <w:pPr>
        <w:pStyle w:val="Heading2"/>
      </w:pPr>
      <w:r>
        <w:t xml:space="preserve">2. Pharmacist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Full Name</w:t>
            </w:r>
          </w:p>
        </w:tc>
        <w:tc>
          <w:tcPr/>
          <w:p>
            <w:pPr>
              <w:pStyle w:val="Compact"/>
              <w:jc w:val="left"/>
            </w:pPr>
            <w:r>
              <w:t xml:space="preserve">[Insert Pharmacist Name]</w:t>
            </w:r>
          </w:p>
        </w:tc>
      </w:tr>
      <w:tr>
        <w:tc>
          <w:tcPr/>
          <w:p>
            <w:pPr>
              <w:pStyle w:val="Compact"/>
              <w:jc w:val="left"/>
            </w:pPr>
            <w:r>
              <w:t xml:space="preserve">Registration Number</w:t>
            </w:r>
          </w:p>
        </w:tc>
        <w:tc>
          <w:tcPr/>
          <w:p>
            <w:pPr>
              <w:pStyle w:val="Compact"/>
              <w:jc w:val="left"/>
            </w:pPr>
            <w:r>
              <w:t xml:space="preserve">[Insert Registration Number]</w:t>
            </w:r>
          </w:p>
        </w:tc>
      </w:tr>
      <w:tr>
        <w:tc>
          <w:tcPr/>
          <w:p>
            <w:pPr>
              <w:pStyle w:val="Compact"/>
              <w:jc w:val="left"/>
            </w:pPr>
            <w:r>
              <w:t xml:space="preserve">Practice Location</w:t>
            </w:r>
          </w:p>
        </w:tc>
        <w:tc>
          <w:tcPr/>
          <w:p>
            <w:pPr>
              <w:pStyle w:val="Compact"/>
              <w:jc w:val="left"/>
            </w:pPr>
            <w:r>
              <w:t xml:space="preserve">[Insert Pharmacy Name and Address, Melbourne, Australia]</w:t>
            </w:r>
          </w:p>
        </w:tc>
      </w:tr>
      <w:tr>
        <w:tc>
          <w:tcPr/>
          <w:p>
            <w:pPr>
              <w:pStyle w:val="Compact"/>
              <w:jc w:val="left"/>
            </w:pPr>
            <w:r>
              <w:t xml:space="preserve">Years of Experience</w:t>
            </w:r>
          </w:p>
        </w:tc>
        <w:tc>
          <w:tcPr/>
          <w:p>
            <w:pPr>
              <w:pStyle w:val="Compact"/>
              <w:jc w:val="left"/>
            </w:pPr>
            <w:r>
              <w:t xml:space="preserve">[Insert Years]</w:t>
            </w:r>
          </w:p>
        </w:tc>
      </w:tr>
      <w:tr>
        <w:tc>
          <w:tcPr/>
          <w:p>
            <w:pPr>
              <w:pStyle w:val="Compact"/>
              <w:jc w:val="left"/>
            </w:pPr>
            <w:r>
              <w:t xml:space="preserve">Specialisation (if any)</w:t>
            </w:r>
          </w:p>
        </w:tc>
        <w:tc>
          <w:tcPr/>
          <w:p>
            <w:pPr>
              <w:pStyle w:val="Compact"/>
              <w:jc w:val="left"/>
            </w:pPr>
            <w:r>
              <w:t xml:space="preserve">[Insert Specialisation]</w:t>
            </w:r>
          </w:p>
        </w:tc>
      </w:tr>
    </w:tbl>
    <w:bookmarkEnd w:id="22"/>
    <w:bookmarkStart w:id="23" w:name="scope-of-review"/>
    <w:p>
      <w:pPr>
        <w:pStyle w:val="Heading2"/>
      </w:pPr>
      <w:r>
        <w:t xml:space="preserve">3. Scope of Review</w:t>
      </w:r>
    </w:p>
    <w:p>
      <w:pPr>
        <w:pStyle w:val="FirstParagraph"/>
      </w:pPr>
      <w:r>
        <w:t xml:space="preserve">The Peer Review Report covers the following key areas of the pharmacist’s practice in Australia Melbourne:</w:t>
      </w:r>
    </w:p>
    <w:p>
      <w:pPr>
        <w:numPr>
          <w:ilvl w:val="0"/>
          <w:numId w:val="1001"/>
        </w:numPr>
        <w:pStyle w:val="Compact"/>
      </w:pPr>
      <w:r>
        <w:t xml:space="preserve">Clinical decision-making and medication management</w:t>
      </w:r>
    </w:p>
    <w:p>
      <w:pPr>
        <w:numPr>
          <w:ilvl w:val="0"/>
          <w:numId w:val="1001"/>
        </w:numPr>
        <w:pStyle w:val="Compact"/>
      </w:pPr>
      <w:r>
        <w:t xml:space="preserve">Compliance with legal and regulatory requirements</w:t>
      </w:r>
    </w:p>
    <w:p>
      <w:pPr>
        <w:numPr>
          <w:ilvl w:val="0"/>
          <w:numId w:val="1001"/>
        </w:numPr>
        <w:pStyle w:val="Compact"/>
      </w:pPr>
      <w:r>
        <w:t xml:space="preserve">Professional communication with patients and healthcare providers</w:t>
      </w:r>
    </w:p>
    <w:p>
      <w:pPr>
        <w:numPr>
          <w:ilvl w:val="0"/>
          <w:numId w:val="1001"/>
        </w:numPr>
        <w:pStyle w:val="Compact"/>
      </w:pPr>
      <w:r>
        <w:t xml:space="preserve">Maintenance of accurate records and documentation</w:t>
      </w:r>
    </w:p>
    <w:p>
      <w:pPr>
        <w:numPr>
          <w:ilvl w:val="0"/>
          <w:numId w:val="1001"/>
        </w:numPr>
        <w:pStyle w:val="Compact"/>
      </w:pPr>
      <w:r>
        <w:t xml:space="preserve">Participation in continuing professional development (CPD)</w:t>
      </w:r>
    </w:p>
    <w:p>
      <w:pPr>
        <w:numPr>
          <w:ilvl w:val="0"/>
          <w:numId w:val="1001"/>
        </w:numPr>
        <w:pStyle w:val="Compact"/>
      </w:pPr>
      <w:r>
        <w:t xml:space="preserve">Adherence to ethical standards and professional conduct</w:t>
      </w:r>
    </w:p>
    <w:p>
      <w:pPr>
        <w:pStyle w:val="FirstParagraph"/>
      </w:pPr>
      <w:r>
        <w:t xml:space="preserve">The review is based on a combination of direct observation, case file audits, interviews with colleagues, and patient feedback where applicable.</w:t>
      </w:r>
    </w:p>
    <w:bookmarkEnd w:id="23"/>
    <w:bookmarkStart w:id="24" w:name="clinical-competence"/>
    <w:p>
      <w:pPr>
        <w:pStyle w:val="Heading2"/>
      </w:pPr>
      <w:r>
        <w:t xml:space="preserve">4. Clinical Competence</w:t>
      </w:r>
    </w:p>
    <w:p>
      <w:pPr>
        <w:pStyle w:val="FirstParagraph"/>
      </w:pPr>
      <w:r>
        <w:t xml:space="preserve">The pharmacist demonstrates a strong understanding of pharmacology, therapeutics, and clinical guidelines relevant to practice in Australia Melbourne. Medication reviews conducted by the pharmacist are thorough, with appropriate identification of potential drug interactions, adverse effects, and therapeutic duplications.</w:t>
      </w:r>
    </w:p>
    <w:p>
      <w:pPr>
        <w:pStyle w:val="BodyText"/>
      </w:pPr>
      <w:r>
        <w:t xml:space="preserve">The pharmacist effectively utilises clinical decision support tools and stays updated with current evidence-based practices. There is clear evidence of proactive involvement in patient care, including medication reconciliation, chronic disease management, and immunisation services.</w:t>
      </w:r>
    </w:p>
    <w:bookmarkEnd w:id="24"/>
    <w:bookmarkStart w:id="25" w:name="regulatory-compliance"/>
    <w:p>
      <w:pPr>
        <w:pStyle w:val="Heading2"/>
      </w:pPr>
      <w:r>
        <w:t xml:space="preserve">5. Regulatory Compliance</w:t>
      </w:r>
    </w:p>
    <w:p>
      <w:pPr>
        <w:pStyle w:val="FirstParagraph"/>
      </w:pPr>
      <w:r>
        <w:t xml:space="preserve">The pharmacist adheres to the standards set by the Pharmacy Board of Australia and complies with state-specific regulations applicable in Victoria, Australia Melbourne. Controlled substances are managed in accordance with legal requirements, with accurate record-keeping and secure storage practices observed.</w:t>
      </w:r>
    </w:p>
    <w:p>
      <w:pPr>
        <w:pStyle w:val="BodyText"/>
      </w:pPr>
      <w:r>
        <w:t xml:space="preserve">The pharmacist maintains valid registration and participates in mandatory CPD activities as required. There are no identified breaches of professional conduct or regulatory standards during the review period.</w:t>
      </w:r>
    </w:p>
    <w:bookmarkEnd w:id="25"/>
    <w:bookmarkStart w:id="26" w:name="professional-communication"/>
    <w:p>
      <w:pPr>
        <w:pStyle w:val="Heading2"/>
      </w:pPr>
      <w:r>
        <w:t xml:space="preserve">6. Professional Communication</w:t>
      </w:r>
    </w:p>
    <w:p>
      <w:pPr>
        <w:pStyle w:val="FirstParagraph"/>
      </w:pPr>
      <w:r>
        <w:t xml:space="preserve">The pharmacist communicates effectively with patients, providing clear and understandable information about medications, dosing instructions, and potential side effects. The pharmacist demonstrates cultural sensitivity and adaptability, which is essential in the multicultural environment of Australia Melbourne.</w:t>
      </w:r>
    </w:p>
    <w:p>
      <w:pPr>
        <w:pStyle w:val="BodyText"/>
      </w:pPr>
      <w:r>
        <w:t xml:space="preserve">Collaboration with other healthcare professionals, including general practitioners and specialists, is conducted professionally and contributes to improved patient outcomes.</w:t>
      </w:r>
    </w:p>
    <w:bookmarkEnd w:id="26"/>
    <w:bookmarkStart w:id="27" w:name="continuing-professional-development"/>
    <w:p>
      <w:pPr>
        <w:pStyle w:val="Heading2"/>
      </w:pPr>
      <w:r>
        <w:t xml:space="preserve">7. Continuing Professional Development</w:t>
      </w:r>
    </w:p>
    <w:p>
      <w:pPr>
        <w:pStyle w:val="FirstParagraph"/>
      </w:pPr>
      <w:r>
        <w:t xml:space="preserve">The pharmacist actively engages in CPD activities, including workshops, seminars, and online courses relevant to pharmacy practice in Australia Melbourne. The pharmacist’s CPD portfolio reflects a commitment to maintaining and enhancing professional competence.</w:t>
      </w:r>
    </w:p>
    <w:bookmarkEnd w:id="27"/>
    <w:bookmarkStart w:id="28" w:name="areas-for-improvement"/>
    <w:p>
      <w:pPr>
        <w:pStyle w:val="Heading2"/>
      </w:pPr>
      <w:r>
        <w:t xml:space="preserve">8. Areas for Improvement</w:t>
      </w:r>
    </w:p>
    <w:p>
      <w:pPr>
        <w:pStyle w:val="FirstParagraph"/>
      </w:pPr>
      <w:r>
        <w:t xml:space="preserve">While the pharmacist’s overall performance is satisfactory, the following areas are identified for further development:</w:t>
      </w:r>
    </w:p>
    <w:p>
      <w:pPr>
        <w:numPr>
          <w:ilvl w:val="0"/>
          <w:numId w:val="1002"/>
        </w:numPr>
        <w:pStyle w:val="Compact"/>
      </w:pPr>
      <w:r>
        <w:t xml:space="preserve">Enhancing documentation practices to ensure consistency and completeness.</w:t>
      </w:r>
    </w:p>
    <w:p>
      <w:pPr>
        <w:numPr>
          <w:ilvl w:val="0"/>
          <w:numId w:val="1002"/>
        </w:numPr>
        <w:pStyle w:val="Compact"/>
      </w:pPr>
      <w:r>
        <w:t xml:space="preserve">Increasing involvement in community health initiatives specific to Melbourne’s population needs.</w:t>
      </w:r>
    </w:p>
    <w:p>
      <w:pPr>
        <w:numPr>
          <w:ilvl w:val="0"/>
          <w:numId w:val="1002"/>
        </w:numPr>
        <w:pStyle w:val="Compact"/>
      </w:pPr>
      <w:r>
        <w:t xml:space="preserve">Further development in advanced clinical services, such as pharmacogenomics or specialised chronic disease management.</w:t>
      </w:r>
    </w:p>
    <w:bookmarkEnd w:id="28"/>
    <w:bookmarkStart w:id="29" w:name="conclusion"/>
    <w:p>
      <w:pPr>
        <w:pStyle w:val="Heading2"/>
      </w:pPr>
      <w:r>
        <w:t xml:space="preserve">9. Conclusion</w:t>
      </w:r>
    </w:p>
    <w:p>
      <w:pPr>
        <w:pStyle w:val="FirstParagraph"/>
      </w:pPr>
      <w:r>
        <w:t xml:space="preserve">Based on the findings of this Peer Review Report, the pharmacist is deemed competent and compliant with the professional standards expected of pharmacists practising in Australia Melbourne. The pharmacist demonstrates a strong commitment to patient care, regulatory compliance, and professional development. The identified areas for improvement are minor and can be addressed through targeted professional development activities.</w:t>
      </w:r>
    </w:p>
    <w:p>
      <w:pPr>
        <w:pStyle w:val="BodyText"/>
      </w:pPr>
      <w:r>
        <w:t xml:space="preserve">This report is intended to support the pharmacist’s ongoing professional growth and to ensure the highest standards of pharmacy practice in the Melbourne community.</w:t>
      </w:r>
    </w:p>
    <w:bookmarkEnd w:id="29"/>
    <w:p>
      <w:pPr>
        <w:pStyle w:val="BodyText"/>
      </w:pPr>
      <w:r>
        <w:rPr>
          <w:bCs/>
          <w:b/>
        </w:rPr>
        <w:t xml:space="preserve">Peer Reviewer Name:</w:t>
      </w:r>
      <w:r>
        <w:t xml:space="preserve"> </w:t>
      </w:r>
      <w:r>
        <w:t xml:space="preserve">[Insert Name]</w:t>
      </w:r>
    </w:p>
    <w:p>
      <w:pPr>
        <w:pStyle w:val="BodyText"/>
      </w:pPr>
      <w:r>
        <w:rPr>
          <w:bCs/>
          <w:b/>
        </w:rPr>
        <w:t xml:space="preserve">Registration Number:</w:t>
      </w:r>
      <w:r>
        <w:t xml:space="preserve"> </w:t>
      </w:r>
      <w:r>
        <w:t xml:space="preserve">[Insert Number]</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Pharmacist - Australia Melbourne</dc:title>
  <dc:creator/>
  <dc:language>en</dc:language>
  <cp:keywords/>
  <dcterms:created xsi:type="dcterms:W3CDTF">2026-10-10T06:17:21Z</dcterms:created>
  <dcterms:modified xsi:type="dcterms:W3CDTF">2026-10-10T06:17:21Z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