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Pharmacist</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pharmacists practising in Australia, specifically within the Sydney metropolitan area. The purpose of this report is to provide a structured, objective, and evidence-based assessment of the clinical competence, professional conduct, and practice quality of the pharmacist under review.</w:t>
      </w:r>
    </w:p>
    <w:p>
      <w:pPr>
        <w:pStyle w:val="BodyText"/>
      </w:pPr>
      <w:r>
        <w:t xml:space="preserve">The review aligns with the expectations of the Pharmacy Board of Australia, the Australian Health Practitioner Regulation Agency (AHPRA), and relevant professional bodies such as the Pharmacy Guild of Australia and the Australian Society of Clinical Pharmacology and Therapeutics (ASCPAT). It also reflects local practice standards and healthcare delivery models common in Sydney’s public and private pharmacy sectors.</w:t>
      </w:r>
    </w:p>
    <w:bookmarkEnd w:id="21"/>
    <w:bookmarkStart w:id="22" w:name="pharmacist-details"/>
    <w:p>
      <w:pPr>
        <w:pStyle w:val="Heading2"/>
      </w:pPr>
      <w:r>
        <w:t xml:space="preserve">2. Pharmacist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[Insert Pharmacist’s Full Name]</w:t>
            </w:r>
          </w:p>
        </w:tc>
      </w:tr>
      <w:tr>
        <w:tc>
          <w:tcPr/>
          <w:p>
            <w:pPr>
              <w:pStyle w:val="Compact"/>
              <w:jc w:val="left"/>
            </w:pPr>
            <w:r>
              <w:t xml:space="preserve">Registration Number</w:t>
            </w:r>
          </w:p>
        </w:tc>
        <w:tc>
          <w:tcPr/>
          <w:p>
            <w:pPr>
              <w:pStyle w:val="Compact"/>
              <w:jc w:val="left"/>
            </w:pPr>
            <w:r>
              <w:t xml:space="preserve">[Insert AHPRA Registration Number]</w:t>
            </w:r>
          </w:p>
        </w:tc>
      </w:tr>
      <w:tr>
        <w:tc>
          <w:tcPr/>
          <w:p>
            <w:pPr>
              <w:pStyle w:val="Compact"/>
              <w:jc w:val="left"/>
            </w:pPr>
            <w:r>
              <w:t xml:space="preserve">Practice Location</w:t>
            </w:r>
          </w:p>
        </w:tc>
        <w:tc>
          <w:tcPr/>
          <w:p>
            <w:pPr>
              <w:pStyle w:val="Compact"/>
              <w:jc w:val="left"/>
            </w:pPr>
            <w:r>
              <w:t xml:space="preserve">[Insert Pharmacy Name and Address, Sydney, NSW]</w:t>
            </w:r>
          </w:p>
        </w:tc>
      </w:tr>
      <w:tr>
        <w:tc>
          <w:tcPr/>
          <w:p>
            <w:pPr>
              <w:pStyle w:val="Compact"/>
              <w:jc w:val="left"/>
            </w:pPr>
            <w:r>
              <w:t xml:space="preserve">Scope of Practice</w:t>
            </w:r>
          </w:p>
        </w:tc>
        <w:tc>
          <w:tcPr/>
          <w:p>
            <w:pPr>
              <w:pStyle w:val="Compact"/>
              <w:jc w:val="left"/>
            </w:pPr>
            <w:r>
              <w:t xml:space="preserve">[e.g., Community Pharmacy, Hospital Pharmacy, Clinical Services]</w:t>
            </w:r>
          </w:p>
        </w:tc>
      </w:tr>
      <w:tr>
        <w:tc>
          <w:tcPr/>
          <w:p>
            <w:pPr>
              <w:pStyle w:val="Compact"/>
              <w:jc w:val="left"/>
            </w:pPr>
            <w:r>
              <w:t xml:space="preserve">Years of Experience</w:t>
            </w:r>
          </w:p>
        </w:tc>
        <w:tc>
          <w:tcPr/>
          <w:p>
            <w:pPr>
              <w:pStyle w:val="Compact"/>
              <w:jc w:val="left"/>
            </w:pPr>
            <w:r>
              <w:t xml:space="preserve">[Insert Number of Years]</w:t>
            </w:r>
          </w:p>
        </w:tc>
      </w:tr>
    </w:tbl>
    <w:bookmarkEnd w:id="22"/>
    <w:bookmarkStart w:id="23" w:name="review-methodology"/>
    <w:p>
      <w:pPr>
        <w:pStyle w:val="Heading2"/>
      </w:pPr>
      <w:r>
        <w:t xml:space="preserve">3. Review Methodology</w:t>
      </w:r>
    </w:p>
    <w:p>
      <w:pPr>
        <w:pStyle w:val="FirstParagraph"/>
      </w:pPr>
      <w:r>
        <w:t xml:space="preserve">This peer review was conducted using a combination of:</w:t>
      </w:r>
    </w:p>
    <w:p>
      <w:pPr>
        <w:numPr>
          <w:ilvl w:val="0"/>
          <w:numId w:val="1001"/>
        </w:numPr>
        <w:pStyle w:val="Compact"/>
      </w:pPr>
      <w:r>
        <w:t xml:space="preserve">Case file audits of patient consultations and medication management plans.</w:t>
      </w:r>
    </w:p>
    <w:p>
      <w:pPr>
        <w:numPr>
          <w:ilvl w:val="0"/>
          <w:numId w:val="1001"/>
        </w:numPr>
        <w:pStyle w:val="Compact"/>
      </w:pPr>
      <w:r>
        <w:t xml:space="preserve">Direct observation of clinical practice and patient interactions.</w:t>
      </w:r>
    </w:p>
    <w:p>
      <w:pPr>
        <w:numPr>
          <w:ilvl w:val="0"/>
          <w:numId w:val="1001"/>
        </w:numPr>
        <w:pStyle w:val="Compact"/>
      </w:pPr>
      <w:r>
        <w:t xml:space="preserve">Interviews with the pharmacist and relevant healthcare colleagues.</w:t>
      </w:r>
    </w:p>
    <w:p>
      <w:pPr>
        <w:numPr>
          <w:ilvl w:val="0"/>
          <w:numId w:val="1001"/>
        </w:numPr>
        <w:pStyle w:val="Compact"/>
      </w:pPr>
      <w:r>
        <w:t xml:space="preserve">Review of continuing professional development (CPD) records.</w:t>
      </w:r>
    </w:p>
    <w:p>
      <w:pPr>
        <w:numPr>
          <w:ilvl w:val="0"/>
          <w:numId w:val="1001"/>
        </w:numPr>
        <w:pStyle w:val="Compact"/>
      </w:pPr>
      <w:r>
        <w:t xml:space="preserve">Assessment of compliance with Australian standards, including the National Code of Practice for Pharmacists and the Standards for Pharmacy Practice.</w:t>
      </w:r>
    </w:p>
    <w:p>
      <w:pPr>
        <w:pStyle w:val="FirstParagraph"/>
      </w:pPr>
      <w:r>
        <w:t xml:space="preserve">The review focused on practice areas commonly encountered in Sydney, including chronic disease management, medication reviews, immunisation services, and collaboration with general practitioners and hospital teams.</w:t>
      </w:r>
    </w:p>
    <w:bookmarkEnd w:id="23"/>
    <w:bookmarkStart w:id="27" w:name="clinical-competence"/>
    <w:p>
      <w:pPr>
        <w:pStyle w:val="Heading2"/>
      </w:pPr>
      <w:r>
        <w:t xml:space="preserve">4. Clinical Competence</w:t>
      </w:r>
    </w:p>
    <w:bookmarkStart w:id="24" w:name="medication-management"/>
    <w:p>
      <w:pPr>
        <w:pStyle w:val="Heading3"/>
      </w:pPr>
      <w:r>
        <w:t xml:space="preserve">4.1 Medication Management</w:t>
      </w:r>
    </w:p>
    <w:p>
      <w:pPr>
        <w:pStyle w:val="FirstParagraph"/>
      </w:pPr>
      <w:r>
        <w:t xml:space="preserve">The pharmacist demonstrated a strong understanding of pharmacotherapy, including appropriate selection, dosing, monitoring, and adjustment of medications. Clinical decisions were consistent with current Australian therapeutic guidelines and local formulary standards.</w:t>
      </w:r>
    </w:p>
    <w:bookmarkEnd w:id="24"/>
    <w:bookmarkStart w:id="25" w:name="patient-assessment-and-counselling"/>
    <w:p>
      <w:pPr>
        <w:pStyle w:val="Heading3"/>
      </w:pPr>
      <w:r>
        <w:t xml:space="preserve">4.2 Patient Assessment and Counselling</w:t>
      </w:r>
    </w:p>
    <w:p>
      <w:pPr>
        <w:pStyle w:val="FirstParagraph"/>
      </w:pPr>
      <w:r>
        <w:t xml:space="preserve">Patient consultations were conducted in a professional, empathetic, and culturally sensitive manner, reflecting the diverse population of Sydney. The pharmacist effectively identified medication-related problems and provided clear, understandable advice tailored to individual patient needs.</w:t>
      </w:r>
    </w:p>
    <w:bookmarkEnd w:id="25"/>
    <w:bookmarkStart w:id="26" w:name="clinical-documentation"/>
    <w:p>
      <w:pPr>
        <w:pStyle w:val="Heading3"/>
      </w:pPr>
      <w:r>
        <w:t xml:space="preserve">4.3 Clinical Documentation</w:t>
      </w:r>
    </w:p>
    <w:p>
      <w:pPr>
        <w:pStyle w:val="FirstParagraph"/>
      </w:pPr>
      <w:r>
        <w:t xml:space="preserve">Documentation of patient interactions, medication reviews, and clinical interventions was accurate, timely, and compliant with privacy and record-keeping requirements under Australian law.</w:t>
      </w:r>
    </w:p>
    <w:bookmarkEnd w:id="26"/>
    <w:bookmarkEnd w:id="27"/>
    <w:bookmarkStart w:id="28" w:name="professional-conduct-and-ethics"/>
    <w:p>
      <w:pPr>
        <w:pStyle w:val="Heading2"/>
      </w:pPr>
      <w:r>
        <w:t xml:space="preserve">5. Professional Conduct and Ethics</w:t>
      </w:r>
    </w:p>
    <w:p>
      <w:pPr>
        <w:pStyle w:val="FirstParagraph"/>
      </w:pPr>
      <w:r>
        <w:t xml:space="preserve">The pharmacist upheld the ethical standards expected of registered pharmacists in Australia. There was consistent evidence of:</w:t>
      </w:r>
    </w:p>
    <w:p>
      <w:pPr>
        <w:numPr>
          <w:ilvl w:val="0"/>
          <w:numId w:val="1002"/>
        </w:numPr>
        <w:pStyle w:val="Compact"/>
      </w:pPr>
      <w:r>
        <w:t xml:space="preserve">Respect for patient autonomy, confidentiality, and dignity.</w:t>
      </w:r>
    </w:p>
    <w:p>
      <w:pPr>
        <w:numPr>
          <w:ilvl w:val="0"/>
          <w:numId w:val="1002"/>
        </w:numPr>
        <w:pStyle w:val="Compact"/>
      </w:pPr>
      <w:r>
        <w:t xml:space="preserve">Adherence to professional boundaries and conflict-of-interest guidelines.</w:t>
      </w:r>
    </w:p>
    <w:p>
      <w:pPr>
        <w:numPr>
          <w:ilvl w:val="0"/>
          <w:numId w:val="1002"/>
        </w:numPr>
        <w:pStyle w:val="Compact"/>
      </w:pPr>
      <w:r>
        <w:t xml:space="preserve">Collaborative practice with other healthcare professionals in Sydney’s integrated care environment.</w:t>
      </w:r>
    </w:p>
    <w:bookmarkEnd w:id="28"/>
    <w:bookmarkStart w:id="29" w:name="continuing-professional-development-cpd"/>
    <w:p>
      <w:pPr>
        <w:pStyle w:val="Heading2"/>
      </w:pPr>
      <w:r>
        <w:t xml:space="preserve">6. Continuing Professional Development (CPD)</w:t>
      </w:r>
    </w:p>
    <w:p>
      <w:pPr>
        <w:pStyle w:val="FirstParagraph"/>
      </w:pPr>
      <w:r>
        <w:t xml:space="preserve">The pharmacist maintained a structured CPD plan aligned with AHPRA requirements. Activities included attendance at local Sydney-based workshops, national webinars, and self-directed learning focused on emerging therapies, regulatory updates, and clinical skills enhancement.</w:t>
      </w:r>
    </w:p>
    <w:bookmarkEnd w:id="29"/>
    <w:bookmarkStart w:id="30" w:name="areas-of-strength"/>
    <w:p>
      <w:pPr>
        <w:pStyle w:val="Heading2"/>
      </w:pPr>
      <w:r>
        <w:t xml:space="preserve">7. Areas of Strength</w:t>
      </w:r>
    </w:p>
    <w:p>
      <w:pPr>
        <w:numPr>
          <w:ilvl w:val="0"/>
          <w:numId w:val="1003"/>
        </w:numPr>
        <w:pStyle w:val="Compact"/>
      </w:pPr>
      <w:r>
        <w:t xml:space="preserve">High level of clinical knowledge and sound therapeutic decision-making.</w:t>
      </w:r>
    </w:p>
    <w:p>
      <w:pPr>
        <w:numPr>
          <w:ilvl w:val="0"/>
          <w:numId w:val="1003"/>
        </w:numPr>
        <w:pStyle w:val="Compact"/>
      </w:pPr>
      <w:r>
        <w:t xml:space="preserve">Effective communication with patients and healthcare teams.</w:t>
      </w:r>
    </w:p>
    <w:p>
      <w:pPr>
        <w:numPr>
          <w:ilvl w:val="0"/>
          <w:numId w:val="1003"/>
        </w:numPr>
        <w:pStyle w:val="Compact"/>
      </w:pPr>
      <w:r>
        <w:t xml:space="preserve">Strong commitment to professional development and evidence-based practice.</w:t>
      </w:r>
    </w:p>
    <w:p>
      <w:pPr>
        <w:numPr>
          <w:ilvl w:val="0"/>
          <w:numId w:val="1003"/>
        </w:numPr>
        <w:pStyle w:val="Compact"/>
      </w:pPr>
      <w:r>
        <w:t xml:space="preserve">Positive contribution to pharmacy operations and patient safety initiatives.</w:t>
      </w:r>
    </w:p>
    <w:bookmarkEnd w:id="30"/>
    <w:bookmarkStart w:id="31" w:name="areas-for-improvement"/>
    <w:p>
      <w:pPr>
        <w:pStyle w:val="Heading2"/>
      </w:pPr>
      <w:r>
        <w:t xml:space="preserve">8. Areas for Improvement</w:t>
      </w:r>
    </w:p>
    <w:p>
      <w:pPr>
        <w:numPr>
          <w:ilvl w:val="0"/>
          <w:numId w:val="1004"/>
        </w:numPr>
        <w:pStyle w:val="Compact"/>
      </w:pPr>
      <w:r>
        <w:t xml:space="preserve">Further development in advanced clinical services, such as expanded prescribing or specialised medication management.</w:t>
      </w:r>
    </w:p>
    <w:p>
      <w:pPr>
        <w:numPr>
          <w:ilvl w:val="0"/>
          <w:numId w:val="1004"/>
        </w:numPr>
        <w:pStyle w:val="Compact"/>
      </w:pPr>
      <w:r>
        <w:t xml:space="preserve">Enhanced use of digital health tools and e-prescribing systems common in Sydney practice settings.</w:t>
      </w:r>
    </w:p>
    <w:p>
      <w:pPr>
        <w:numPr>
          <w:ilvl w:val="0"/>
          <w:numId w:val="1004"/>
        </w:numPr>
        <w:pStyle w:val="Compact"/>
      </w:pPr>
      <w:r>
        <w:t xml:space="preserve">Increased participation in multidisciplinary case conferences and quality improvement projects.</w:t>
      </w:r>
    </w:p>
    <w:bookmarkEnd w:id="31"/>
    <w:bookmarkStart w:id="32"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Continue current CPD activities with a focus on advanced clinical practice.</w:t>
      </w:r>
    </w:p>
    <w:p>
      <w:pPr>
        <w:numPr>
          <w:ilvl w:val="0"/>
          <w:numId w:val="1005"/>
        </w:numPr>
        <w:pStyle w:val="Compact"/>
      </w:pPr>
      <w:r>
        <w:t xml:space="preserve">Engage in mentorship or supervision opportunities within Sydney’s pharmacy network.</w:t>
      </w:r>
    </w:p>
    <w:p>
      <w:pPr>
        <w:numPr>
          <w:ilvl w:val="0"/>
          <w:numId w:val="1005"/>
        </w:numPr>
        <w:pStyle w:val="Compact"/>
      </w:pPr>
      <w:r>
        <w:t xml:space="preserve">Participate in local quality assurance and patient safety initiatives.</w:t>
      </w:r>
    </w:p>
    <w:p>
      <w:pPr>
        <w:numPr>
          <w:ilvl w:val="0"/>
          <w:numId w:val="1005"/>
        </w:numPr>
        <w:pStyle w:val="Compact"/>
      </w:pPr>
      <w:r>
        <w:t xml:space="preserve">Consider pursuing additional accreditation in areas such as diabetes management, immunisation, or medication review services.</w:t>
      </w:r>
    </w:p>
    <w:bookmarkEnd w:id="32"/>
    <w:bookmarkStart w:id="33" w:name="conclusion"/>
    <w:p>
      <w:pPr>
        <w:pStyle w:val="Heading2"/>
      </w:pPr>
      <w:r>
        <w:t xml:space="preserve">10. Conclusion</w:t>
      </w:r>
    </w:p>
    <w:p>
      <w:pPr>
        <w:pStyle w:val="FirstParagraph"/>
      </w:pPr>
      <w:r>
        <w:t xml:space="preserve">The pharmacist under review demonstrates a high standard of professional practice consistent with the expectations for pharmacists in Australia Sydney. Their clinical competence, ethical conduct, and commitment to ongoing learning contribute positively to patient care and the broader healthcare system. With continued professional development and targeted improvements, the pharmacist is well-positioned to further enhance their practice and service delivery.</w:t>
      </w:r>
    </w:p>
    <w:bookmarkEnd w:id="33"/>
    <w:p>
      <w:pPr>
        <w:pStyle w:val="BodyText"/>
      </w:pPr>
      <w:r>
        <w:rPr>
          <w:bCs/>
          <w:b/>
        </w:rPr>
        <w:t xml:space="preserve">Reviewer Name:</w:t>
      </w:r>
      <w:r>
        <w:t xml:space="preserve"> </w:t>
      </w:r>
      <w:r>
        <w:t xml:space="preserve">[Insert Reviewer’s Full Name]</w:t>
      </w:r>
    </w:p>
    <w:p>
      <w:pPr>
        <w:pStyle w:val="BodyText"/>
      </w:pPr>
      <w:r>
        <w:rPr>
          <w:bCs/>
          <w:b/>
        </w:rPr>
        <w:t xml:space="preserve">Reviewer Role:</w:t>
      </w:r>
      <w:r>
        <w:t xml:space="preserve"> </w:t>
      </w:r>
      <w:r>
        <w:t xml:space="preserve">[Insert Role, e.g., Senior Pharmacist, Clinical Lead]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Australia Sydney</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