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Professional</w:t>
      </w:r>
      <w:r>
        <w:t xml:space="preserve"> </w:t>
      </w:r>
      <w:r>
        <w:t xml:space="preserve">Competency</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Assessment</w:t>
      </w:r>
    </w:p>
    <w:p>
      <w:pPr>
        <w:pStyle w:val="BodyText"/>
      </w:pPr>
      <w:r>
        <w:rPr>
          <w:bCs/>
          <w:b/>
        </w:rPr>
        <w:t xml:space="preserve">Role:</w:t>
      </w:r>
      <w:r>
        <w:t xml:space="preserve"> </w:t>
      </w:r>
      <w:r>
        <w:t xml:space="preserve">Pharmacist</w:t>
      </w:r>
    </w:p>
    <w:p>
      <w:pPr>
        <w:pStyle w:val="BodyText"/>
      </w:pPr>
      <w:r>
        <w:rPr>
          <w:bCs/>
          <w:b/>
        </w:rPr>
        <w:t xml:space="preserve">Location:</w:t>
      </w:r>
      <w:r>
        <w:t xml:space="preserve"> </w:t>
      </w:r>
      <w:r>
        <w:t xml:space="preserve">Germany Frankfurt</w:t>
      </w:r>
    </w:p>
    <w:p>
      <w:pPr>
        <w:pStyle w:val="BodyText"/>
      </w:pPr>
      <w:r>
        <w:rPr>
          <w:bCs/>
          <w:b/>
        </w:rPr>
        <w:t xml:space="preserve">Date of Review:</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clinical knowledge, and regulatory compliance of a practicing Pharmacist within the healthcare infrastructure of Germany Frankfurt. The review aims to ensure that the highest standards of pharmaceutical care are maintained, aligning with the strict regulations set forth by the German Federal Ministry of Health and the local Chamber of Pharmacists (Apothekerkammer) in Hesse. The assessment focuses on medication management, patient counseling, interprofessional collaboration, and adherence to the specific operational protocols required in the bustling medical environment of Frankfurt am Main.</w:t>
      </w:r>
    </w:p>
    <w:bookmarkEnd w:id="21"/>
    <w:bookmarkStart w:id="22" w:name="X4bc4b1c7ef29040b8a00b7c589cb9a284653636"/>
    <w:p>
      <w:pPr>
        <w:pStyle w:val="Heading2"/>
      </w:pPr>
      <w:r>
        <w:t xml:space="preserve">2. Regulatory Compliance and Legal Framework</w:t>
      </w:r>
    </w:p>
    <w:p>
      <w:pPr>
        <w:pStyle w:val="FirstParagraph"/>
      </w:pPr>
      <w:r>
        <w:t xml:space="preserve">In Germany Frankfurt, the role of a Pharmacist is heavily regulated to ensure public safety. This review confirms that the subject demonstrates a thorough understanding of the German Pharmacy Act (Apothekengesetz) and the Narcotics Act (Betäubungsmittelgesetz). The Pharmacist has shown consistent compliance with the documentation requirements mandated by the local health authorities.</w:t>
      </w:r>
    </w:p>
    <w:p>
      <w:pPr>
        <w:pStyle w:val="BodyText"/>
      </w:pPr>
      <w:r>
        <w:t xml:space="preserve">Specifically, the handling of prescription medications, including controlled substances, was observed to be meticulous. The review highlights that the Pharmacist correctly verifies prescriptions issued by physicians in the Frankfurt metropolitan area, ensuring that all digital and physical prescriptions meet the legal criteria for dispensing. Furthermore, the subject adheres strictly to the data protection laws (GDPR) regarding patient confidentiality, a critical aspect of practice in a major European hub like Frankfurt.</w:t>
      </w:r>
    </w:p>
    <w:bookmarkEnd w:id="22"/>
    <w:bookmarkStart w:id="23" w:name="X872f8dd5c1d9ac8185ab18619a6cc4d959681cc"/>
    <w:p>
      <w:pPr>
        <w:pStyle w:val="Heading2"/>
      </w:pPr>
      <w:r>
        <w:t xml:space="preserve">3. Clinical Competency and Medication Management</w:t>
      </w:r>
    </w:p>
    <w:p>
      <w:pPr>
        <w:pStyle w:val="FirstParagraph"/>
      </w:pPr>
      <w:r>
        <w:t xml:space="preserve">The core of this Peer Review Report focuses on the clinical acumen of the Pharmacist. The assessment indicates a high level of proficiency in pharmacotherapy. The Pharmacist demonstrates an excellent ability to identify potential drug-drug interactions, contraindications, and dosage errors. This is particularly vital in Germany Frankfurt, where the patient demographic is diverse, and polypharmacy is common among the aging population.</w:t>
      </w:r>
    </w:p>
    <w:p>
      <w:pPr>
        <w:pStyle w:val="BodyText"/>
      </w:pPr>
      <w:r>
        <w:t xml:space="preserve">During the review period, the Pharmacist successfully intervened in several cases where potential adverse drug events were identified. These interventions were documented and communicated effectively to the prescribing physicians. The subject’s knowledge of the German drug reimbursement system (GKV) and the distinction between prescription-only and over-the-counter medications was found to be accurate and up-to-date. The Pharmacist also showed competence in managing the inventory of the pharmacy, ensuring that cold chain requirements for vaccines and biologics were strictly maintained.</w:t>
      </w:r>
    </w:p>
    <w:bookmarkEnd w:id="23"/>
    <w:bookmarkStart w:id="24" w:name="X6e2b98084b10c89190c6e1012dda5082d0eb2d4"/>
    <w:p>
      <w:pPr>
        <w:pStyle w:val="Heading2"/>
      </w:pPr>
      <w:r>
        <w:t xml:space="preserve">4. Patient Counseling and Communication Skills</w:t>
      </w:r>
    </w:p>
    <w:p>
      <w:pPr>
        <w:pStyle w:val="FirstParagraph"/>
      </w:pPr>
      <w:r>
        <w:t xml:space="preserve">Effective communication is a cornerstone of the Pharmacist’s role in Germany Frankfurt. This Peer Review Report evaluates the subject’s ability to counsel patients in both German and English, reflecting the international nature of the city. The Pharmacist was observed providing clear, concise, and empathetic explanations regarding medication usage, side effects, and storage instructions.</w:t>
      </w:r>
    </w:p>
    <w:p>
      <w:pPr>
        <w:pStyle w:val="BodyText"/>
      </w:pPr>
      <w:r>
        <w:t xml:space="preserve">The review notes that the Pharmacist excels in adapting communication styles to suit patients with varying levels of health literacy. In a multicultural environment like Frankfurt, the ability to bridge language barriers and ensure patient understanding is crucial. The subject was commended for their patience and professionalism when dealing with complex inquiries from patients regarding chronic disease management, such as diabetes and hypertension. The Pharmacist also actively promotes preventive health measures, aligning with the public health initiatives supported by the local health department.</w:t>
      </w:r>
    </w:p>
    <w:bookmarkEnd w:id="24"/>
    <w:bookmarkStart w:id="25" w:name="interprofessional-collaboration"/>
    <w:p>
      <w:pPr>
        <w:pStyle w:val="Heading2"/>
      </w:pPr>
      <w:r>
        <w:t xml:space="preserve">5. Interprofessional Collaboration</w:t>
      </w:r>
    </w:p>
    <w:p>
      <w:pPr>
        <w:pStyle w:val="FirstParagraph"/>
      </w:pPr>
      <w:r>
        <w:t xml:space="preserve">The healthcare system in Germany Frankfurt relies on seamless collaboration between pharmacists, physicians, nurses, and other healthcare professionals. This Peer Review Report confirms that the Pharmacist maintains strong professional relationships with local medical practices and hospitals. The subject actively participates in medication therapy management meetings and contributes valuable insights to optimize patient care plans.</w:t>
      </w:r>
    </w:p>
    <w:p>
      <w:pPr>
        <w:pStyle w:val="BodyText"/>
      </w:pPr>
      <w:r>
        <w:t xml:space="preserve">The Pharmacist’s ability to communicate effectively with physicians regarding therapeutic alternatives and cost-effective medication options was highlighted as a strength. This collaborative approach not only enhances patient outcomes but also supports the efficiency of the healthcare system in the region. The subject is viewed as a reliable resource by colleagues, demonstrating a commitment to continuous learning and professional development.</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of the Pharmacist is exemplary, this Peer Review Report identifies a few areas for potential enhancement. It is recommended that the subject further engage in continuing education programs focused on emerging pharmaceutical therapies and digital health tools, which are increasingly being integrated into the healthcare landscape of Germany Frankfurt. Additionally, expanding language skills to include other common languages spoken in the region could further improve patient accessibility and satisfaction.</w:t>
      </w:r>
    </w:p>
    <w:p>
      <w:pPr>
        <w:pStyle w:val="BodyText"/>
      </w:pPr>
      <w:r>
        <w:t xml:space="preserve">The Pharmacist is also encouraged to take a more active role in community health outreach programs, leveraging their expertise to educate the public on medication safety and health promotion. These initiatives would align well with the goals of the local Chamber of Pharmacists and contribute to the overall well-being of the Frankfurt community.</w:t>
      </w:r>
    </w:p>
    <w:bookmarkEnd w:id="26"/>
    <w:bookmarkStart w:id="27" w:name="conclusion"/>
    <w:p>
      <w:pPr>
        <w:pStyle w:val="Heading2"/>
      </w:pPr>
      <w:r>
        <w:t xml:space="preserve">7. Conclusion</w:t>
      </w:r>
    </w:p>
    <w:p>
      <w:pPr>
        <w:pStyle w:val="FirstParagraph"/>
      </w:pPr>
      <w:r>
        <w:t xml:space="preserve">In conclusion, this Peer Review Report affirms that the Pharmacist under review meets and often exceeds the professional standards required for practice in Germany Frankfurt. The subject demonstrates exceptional clinical knowledge, regulatory compliance, and patient-centered care. Their contributions to the pharmacy team and the broader healthcare community are significant and valued. It is the recommendation of this review that the Pharmacist continues their current practice with the suggested areas for development integrated into their professional growth plan.</w:t>
      </w:r>
    </w:p>
    <w:bookmarkEnd w:id="27"/>
    <w:p>
      <w:pPr>
        <w:pStyle w:val="BodyText"/>
      </w:pPr>
      <w:r>
        <w:rPr>
          <w:bCs/>
          <w:b/>
        </w:rPr>
        <w:t xml:space="preserve">Reviewed By:</w:t>
      </w:r>
    </w:p>
    <w:p>
      <w:pPr>
        <w:pStyle w:val="BodyText"/>
      </w:pPr>
      <w:r>
        <w:t xml:space="preserve">Dr. Hans Mueller, Senior Pharmacist</w:t>
      </w:r>
    </w:p>
    <w:p>
      <w:pPr>
        <w:pStyle w:val="BodyText"/>
      </w:pPr>
      <w:r>
        <w:t xml:space="preserve">Peer Review Committee</w:t>
      </w:r>
    </w:p>
    <w:p>
      <w:pPr>
        <w:pStyle w:val="BodyText"/>
      </w:pPr>
      <w:r>
        <w:t xml:space="preserve">Germany Frankfurt</w:t>
      </w:r>
    </w:p>
    <w:p>
      <w:pPr>
        <w:pStyle w:val="BodyText"/>
      </w:pPr>
      <w:r>
        <w:rPr>
          <w:bCs/>
          <w:b/>
        </w:rPr>
        <w:t xml:space="preserve">Reviewed Pharmacist:</w:t>
      </w:r>
    </w:p>
    <w:p>
      <w:pPr>
        <w:pStyle w:val="BodyText"/>
      </w:pPr>
      <w:r>
        <w:t xml:space="preserve">[Name of Pharmacist]</w:t>
      </w:r>
    </w:p>
    <w:p>
      <w:pPr>
        <w:pStyle w:val="BodyText"/>
      </w:pPr>
      <w:r>
        <w:t xml:space="preserve">License Number: [Number]</w:t>
      </w:r>
    </w:p>
    <w:p>
      <w:pPr>
        <w:pStyle w:val="BodyText"/>
      </w:pPr>
      <w:r>
        <w:t xml:space="preserve">Date: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Professional Competency Assessment</dc:title>
  <dc:creator/>
  <dc:language>en</dc:language>
  <cp:keywords/>
  <dcterms:created xsi:type="dcterms:W3CDTF">2026-10-10T07:35:47Z</dcterms:created>
  <dcterms:modified xsi:type="dcterms:W3CDTF">2026-10-10T07:35:47Z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