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Pharmacist Professional Practice Evaluation</w:t>
      </w:r>
    </w:p>
    <w:p>
      <w:pPr>
        <w:pStyle w:val="BodyText"/>
      </w:pPr>
      <w:r>
        <w:rPr>
          <w:bCs/>
          <w:b/>
        </w:rPr>
        <w:t xml:space="preserve">Location:</w:t>
      </w:r>
      <w:r>
        <w:t xml:space="preserve"> </w:t>
      </w:r>
      <w:r>
        <w:t xml:space="preserve">Israel Jerusalem</w:t>
      </w:r>
    </w:p>
    <w:p>
      <w:pPr>
        <w:pStyle w:val="BodyText"/>
      </w:pPr>
      <w:r>
        <w:rPr>
          <w:bCs/>
          <w:b/>
        </w:rPr>
        <w:t xml:space="preserve">Date of Review:</w:t>
      </w:r>
      <w:r>
        <w:t xml:space="preserve"> </w:t>
      </w:r>
      <w:r>
        <w:t xml:space="preserve">October 15, 2023</w:t>
      </w:r>
    </w:p>
    <w:p>
      <w:pPr>
        <w:pStyle w:val="BodyText"/>
      </w:pPr>
      <w:r>
        <w:rPr>
          <w:bCs/>
          <w:b/>
        </w:rPr>
        <w:t xml:space="preserve">Review Period:</w:t>
      </w:r>
      <w:r>
        <w:t xml:space="preserve"> </w:t>
      </w:r>
      <w:r>
        <w:t xml:space="preserve">January 1, 2023 – September 30, 2023</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standards set forth by the Israel Ministry of Health and the Israel Pharmacists Association. The purpose of this document is to evaluate the professional performance, clinical competence, and ethical conduct of a licensed Pharmacist practicing in Israel Jerusalem. The review aims to ensure that the highest standards of pharmaceutical care are maintained, particularly within the diverse and complex healthcare environment of Jerusalem.</w:t>
      </w:r>
    </w:p>
    <w:p>
      <w:pPr>
        <w:pStyle w:val="BodyText"/>
      </w:pPr>
      <w:r>
        <w:t xml:space="preserve">The evaluation focuses on medication management, patient counseling, regulatory compliance, and collaboration with healthcare teams. Given the unique demographic and cultural landscape of Israel Jerusalem, the report also considers the Pharmacist’s ability to provide culturally sensitive care and adhere to local health regulations.</w:t>
      </w:r>
    </w:p>
    <w:bookmarkEnd w:id="21"/>
    <w:bookmarkStart w:id="22" w:name="pharmacist-profile"/>
    <w:p>
      <w:pPr>
        <w:pStyle w:val="Heading2"/>
      </w:pPr>
      <w:r>
        <w:t xml:space="preserve">2. Pharmacist Profile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[Pharmacist Name]</w:t>
            </w:r>
          </w:p>
        </w:tc>
      </w:tr>
      <w:tr>
        <w:tc>
          <w:tcPr/>
          <w:p>
            <w:pPr>
              <w:pStyle w:val="Compact"/>
              <w:jc w:val="left"/>
            </w:pPr>
            <w:r>
              <w:t xml:space="preserve">License Number</w:t>
            </w:r>
          </w:p>
        </w:tc>
        <w:tc>
          <w:tcPr/>
          <w:p>
            <w:pPr>
              <w:pStyle w:val="Compact"/>
              <w:jc w:val="left"/>
            </w:pPr>
            <w:r>
              <w:t xml:space="preserve">[License Number]</w:t>
            </w:r>
          </w:p>
        </w:tc>
      </w:tr>
      <w:tr>
        <w:tc>
          <w:tcPr/>
          <w:p>
            <w:pPr>
              <w:pStyle w:val="Compact"/>
              <w:jc w:val="left"/>
            </w:pPr>
            <w:r>
              <w:t xml:space="preserve">Practice Location</w:t>
            </w:r>
          </w:p>
        </w:tc>
        <w:tc>
          <w:tcPr/>
          <w:p>
            <w:pPr>
              <w:pStyle w:val="Compact"/>
              <w:jc w:val="left"/>
            </w:pPr>
            <w:r>
              <w:t xml:space="preserve">[Pharmacy Name], Israel Jerusalem</w:t>
            </w:r>
          </w:p>
        </w:tc>
      </w:tr>
      <w:tr>
        <w:tc>
          <w:tcPr/>
          <w:p>
            <w:pPr>
              <w:pStyle w:val="Compact"/>
              <w:jc w:val="left"/>
            </w:pPr>
            <w:r>
              <w:t xml:space="preserve">Years of Experience</w:t>
            </w:r>
          </w:p>
        </w:tc>
        <w:tc>
          <w:tcPr/>
          <w:p>
            <w:pPr>
              <w:pStyle w:val="Compact"/>
              <w:jc w:val="left"/>
            </w:pPr>
            <w:r>
              <w:t xml:space="preserve">[Number] years</w:t>
            </w:r>
          </w:p>
        </w:tc>
      </w:tr>
      <w:tr>
        <w:tc>
          <w:tcPr/>
          <w:p>
            <w:pPr>
              <w:pStyle w:val="Compact"/>
              <w:jc w:val="left"/>
            </w:pPr>
            <w:r>
              <w:t xml:space="preserve">Specializations</w:t>
            </w:r>
          </w:p>
        </w:tc>
        <w:tc>
          <w:tcPr/>
          <w:p>
            <w:pPr>
              <w:pStyle w:val="Compact"/>
              <w:jc w:val="left"/>
            </w:pPr>
            <w:r>
              <w:t xml:space="preserve">[e.g., Clinical Pharmacy, Oncology, Community Pharmacy]</w:t>
            </w:r>
          </w:p>
        </w:tc>
      </w:tr>
    </w:tbl>
    <w:bookmarkEnd w:id="22"/>
    <w:bookmarkStart w:id="23" w:name="evaluation-criteria"/>
    <w:p>
      <w:pPr>
        <w:pStyle w:val="Heading2"/>
      </w:pPr>
      <w:r>
        <w:t xml:space="preserve">3. Evaluation Criteria</w:t>
      </w:r>
    </w:p>
    <w:p>
      <w:pPr>
        <w:pStyle w:val="FirstParagraph"/>
      </w:pPr>
      <w:r>
        <w:t xml:space="preserve">The Peer Review Report assesses the Pharmacist’s performance based on the following criteria:</w:t>
      </w:r>
    </w:p>
    <w:p>
      <w:pPr>
        <w:numPr>
          <w:ilvl w:val="0"/>
          <w:numId w:val="1001"/>
        </w:numPr>
        <w:pStyle w:val="Compact"/>
      </w:pPr>
      <w:r>
        <w:rPr>
          <w:bCs/>
          <w:b/>
        </w:rPr>
        <w:t xml:space="preserve">Clinical Competence:</w:t>
      </w:r>
      <w:r>
        <w:t xml:space="preserve"> </w:t>
      </w:r>
      <w:r>
        <w:t xml:space="preserve">Accuracy in medication dispensing, therapeutic decision-making, and drug interaction management.</w:t>
      </w:r>
    </w:p>
    <w:p>
      <w:pPr>
        <w:numPr>
          <w:ilvl w:val="0"/>
          <w:numId w:val="1001"/>
        </w:numPr>
        <w:pStyle w:val="Compact"/>
      </w:pPr>
      <w:r>
        <w:rPr>
          <w:bCs/>
          <w:b/>
        </w:rPr>
        <w:t xml:space="preserve">Patient Care:</w:t>
      </w:r>
      <w:r>
        <w:t xml:space="preserve"> </w:t>
      </w:r>
      <w:r>
        <w:t xml:space="preserve">Quality of patient counseling, adherence support, and communication skills.</w:t>
      </w:r>
    </w:p>
    <w:p>
      <w:pPr>
        <w:numPr>
          <w:ilvl w:val="0"/>
          <w:numId w:val="1001"/>
        </w:numPr>
        <w:pStyle w:val="Compact"/>
      </w:pPr>
      <w:r>
        <w:rPr>
          <w:bCs/>
          <w:b/>
        </w:rPr>
        <w:t xml:space="preserve">Regulatory Compliance:</w:t>
      </w:r>
      <w:r>
        <w:t xml:space="preserve"> </w:t>
      </w:r>
      <w:r>
        <w:t xml:space="preserve">Adherence to Israeli pharmaceutical laws, including the Pharmacy Law and Ministry of Health guidelines.</w:t>
      </w:r>
    </w:p>
    <w:p>
      <w:pPr>
        <w:numPr>
          <w:ilvl w:val="0"/>
          <w:numId w:val="1001"/>
        </w:numPr>
        <w:pStyle w:val="Compact"/>
      </w:pPr>
      <w:r>
        <w:rPr>
          <w:bCs/>
          <w:b/>
        </w:rPr>
        <w:t xml:space="preserve">Professional Ethics:</w:t>
      </w:r>
      <w:r>
        <w:t xml:space="preserve"> </w:t>
      </w:r>
      <w:r>
        <w:t xml:space="preserve">Integrity, confidentiality, and ethical decision-making in practice.</w:t>
      </w:r>
    </w:p>
    <w:p>
      <w:pPr>
        <w:numPr>
          <w:ilvl w:val="0"/>
          <w:numId w:val="1001"/>
        </w:numPr>
        <w:pStyle w:val="Compact"/>
      </w:pPr>
      <w:r>
        <w:rPr>
          <w:bCs/>
          <w:b/>
        </w:rPr>
        <w:t xml:space="preserve">Collaboration:</w:t>
      </w:r>
      <w:r>
        <w:t xml:space="preserve"> </w:t>
      </w:r>
      <w:r>
        <w:t xml:space="preserve">Effectiveness in working with physicians, nurses, and other healthcare professionals in Israel Jerusalem.</w:t>
      </w:r>
    </w:p>
    <w:p>
      <w:pPr>
        <w:numPr>
          <w:ilvl w:val="0"/>
          <w:numId w:val="1001"/>
        </w:numPr>
        <w:pStyle w:val="Compact"/>
      </w:pPr>
      <w:r>
        <w:rPr>
          <w:bCs/>
          <w:b/>
        </w:rPr>
        <w:t xml:space="preserve">Continuing Education:</w:t>
      </w:r>
      <w:r>
        <w:t xml:space="preserve"> </w:t>
      </w:r>
      <w:r>
        <w:t xml:space="preserve">Engagement in professional development and staying updated with advancements in pharmaceutical sciences.</w:t>
      </w:r>
    </w:p>
    <w:bookmarkEnd w:id="23"/>
    <w:bookmarkStart w:id="30" w:name="findings"/>
    <w:p>
      <w:pPr>
        <w:pStyle w:val="Heading2"/>
      </w:pPr>
      <w:r>
        <w:t xml:space="preserve">4. Findings</w:t>
      </w:r>
    </w:p>
    <w:bookmarkStart w:id="24" w:name="clinical-competence"/>
    <w:p>
      <w:pPr>
        <w:pStyle w:val="Heading3"/>
      </w:pPr>
      <w:r>
        <w:t xml:space="preserve">4.1 Clinical Competence</w:t>
      </w:r>
    </w:p>
    <w:p>
      <w:pPr>
        <w:pStyle w:val="FirstParagraph"/>
      </w:pPr>
      <w:r>
        <w:t xml:space="preserve">The Pharmacist demonstrated a high level of clinical competence throughout the review period. Prescription reviews were conducted thoroughly, with appropriate identification and resolution of potential drug interactions. The Pharmacist’s knowledge of pharmacotherapy was evident in their ability to recommend alternative treatments when necessary, ensuring optimal patient outcomes.</w:t>
      </w:r>
    </w:p>
    <w:p>
      <w:pPr>
        <w:pStyle w:val="BodyText"/>
      </w:pPr>
      <w:r>
        <w:t xml:space="preserve">In the context of Israel Jerusalem, where patients may present with complex medical histories due to the region’s diverse population, the Pharmacist’s ability to tailor medication regimens to individual needs was particularly commendable.</w:t>
      </w:r>
    </w:p>
    <w:bookmarkEnd w:id="24"/>
    <w:bookmarkStart w:id="25" w:name="patient-care"/>
    <w:p>
      <w:pPr>
        <w:pStyle w:val="Heading3"/>
      </w:pPr>
      <w:r>
        <w:t xml:space="preserve">4.2 Patient Care</w:t>
      </w:r>
    </w:p>
    <w:p>
      <w:pPr>
        <w:pStyle w:val="FirstParagraph"/>
      </w:pPr>
      <w:r>
        <w:t xml:space="preserve">Patient counseling sessions were conducted with clarity and empathy. The Pharmacist effectively communicated medication instructions, potential side effects, and adherence strategies. Feedback from patients indicated a high level of satisfaction with the care provided.</w:t>
      </w:r>
    </w:p>
    <w:p>
      <w:pPr>
        <w:pStyle w:val="BodyText"/>
      </w:pPr>
      <w:r>
        <w:t xml:space="preserve">The Pharmacist also demonstrated cultural sensitivity, an essential skill in Israel Jerusalem, where patients come from various religious and ethnic backgrounds. This approach fostered trust and improved patient engagement.</w:t>
      </w:r>
    </w:p>
    <w:bookmarkEnd w:id="25"/>
    <w:bookmarkStart w:id="26" w:name="regulatory-compliance"/>
    <w:p>
      <w:pPr>
        <w:pStyle w:val="Heading3"/>
      </w:pPr>
      <w:r>
        <w:t xml:space="preserve">4.3 Regulatory Compliance</w:t>
      </w:r>
    </w:p>
    <w:p>
      <w:pPr>
        <w:pStyle w:val="FirstParagraph"/>
      </w:pPr>
      <w:r>
        <w:t xml:space="preserve">The Pharmacist adhered strictly to Israeli pharmaceutical regulations, including proper documentation, storage of controlled substances, and reporting of adverse drug reactions. No violations or discrepancies were identified during the review.</w:t>
      </w:r>
    </w:p>
    <w:bookmarkEnd w:id="26"/>
    <w:bookmarkStart w:id="27" w:name="professional-ethics"/>
    <w:p>
      <w:pPr>
        <w:pStyle w:val="Heading3"/>
      </w:pPr>
      <w:r>
        <w:t xml:space="preserve">4.4 Professional Ethics</w:t>
      </w:r>
    </w:p>
    <w:p>
      <w:pPr>
        <w:pStyle w:val="FirstParagraph"/>
      </w:pPr>
      <w:r>
        <w:t xml:space="preserve">The Pharmacist upheld the highest ethical standards, maintaining patient confidentiality and avoiding conflicts of interest. Decisions were consistently made in the best interest of patients, reflecting a strong commitment to professional integrity.</w:t>
      </w:r>
    </w:p>
    <w:bookmarkEnd w:id="27"/>
    <w:bookmarkStart w:id="28" w:name="collaboration"/>
    <w:p>
      <w:pPr>
        <w:pStyle w:val="Heading3"/>
      </w:pPr>
      <w:r>
        <w:t xml:space="preserve">4.5 Collaboration</w:t>
      </w:r>
    </w:p>
    <w:p>
      <w:pPr>
        <w:pStyle w:val="FirstParagraph"/>
      </w:pPr>
      <w:r>
        <w:t xml:space="preserve">The Pharmacist actively collaborated with healthcare teams in Israel Jerusalem, participating in multidisciplinary meetings and contributing to medication therapy management. This collaborative approach enhanced the quality of care provided to patients.</w:t>
      </w:r>
    </w:p>
    <w:bookmarkEnd w:id="28"/>
    <w:bookmarkStart w:id="29" w:name="continuing-education"/>
    <w:p>
      <w:pPr>
        <w:pStyle w:val="Heading3"/>
      </w:pPr>
      <w:r>
        <w:t xml:space="preserve">4.6 Continuing Education</w:t>
      </w:r>
    </w:p>
    <w:p>
      <w:pPr>
        <w:pStyle w:val="FirstParagraph"/>
      </w:pPr>
      <w:r>
        <w:t xml:space="preserve">The Pharmacist engaged in ongoing professional development, attending workshops and conferences relevant to pharmaceutical practice. This commitment to learning ensured that their knowledge and skills remained current.</w:t>
      </w:r>
    </w:p>
    <w:bookmarkEnd w:id="29"/>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Continue to prioritize patient-centered care, particularly in addressing the unique needs of the diverse population in Israel Jerusalem.</w:t>
      </w:r>
    </w:p>
    <w:p>
      <w:pPr>
        <w:numPr>
          <w:ilvl w:val="0"/>
          <w:numId w:val="1002"/>
        </w:numPr>
        <w:pStyle w:val="Compact"/>
      </w:pPr>
      <w:r>
        <w:t xml:space="preserve">Explore opportunities for further specialization in areas such as geriatric pharmacy or oncology, given the growing demand in the region.</w:t>
      </w:r>
    </w:p>
    <w:p>
      <w:pPr>
        <w:numPr>
          <w:ilvl w:val="0"/>
          <w:numId w:val="1002"/>
        </w:numPr>
        <w:pStyle w:val="Compact"/>
      </w:pPr>
      <w:r>
        <w:t xml:space="preserve">Enhance digital literacy by adopting new technologies for medication management and patient communication.</w:t>
      </w:r>
    </w:p>
    <w:bookmarkEnd w:id="31"/>
    <w:bookmarkStart w:id="32" w:name="conclusion"/>
    <w:p>
      <w:pPr>
        <w:pStyle w:val="Heading2"/>
      </w:pPr>
      <w:r>
        <w:t xml:space="preserve">6. Conclusion</w:t>
      </w:r>
    </w:p>
    <w:p>
      <w:pPr>
        <w:pStyle w:val="FirstParagraph"/>
      </w:pPr>
      <w:r>
        <w:t xml:space="preserve">This Peer Review Report concludes that the Pharmacist has demonstrated exceptional professionalism, clinical expertise, and dedication to patient care. Their practice aligns with the standards expected of a Pharmacist in Israel Jerusalem, contributing positively to the healthcare system. Continued adherence to best practices and ongoing professional development will ensure sustained excellence in pharmaceutical services.</w:t>
      </w:r>
    </w:p>
    <w:bookmarkEnd w:id="32"/>
    <w:p>
      <w:pPr>
        <w:pStyle w:val="BodyText"/>
      </w:pPr>
      <w:r>
        <w:rPr>
          <w:bCs/>
          <w:b/>
        </w:rPr>
        <w:t xml:space="preserve">Reviewed by:</w:t>
      </w:r>
    </w:p>
    <w:p>
      <w:pPr>
        <w:pStyle w:val="BodyText"/>
      </w:pPr>
      <w:r>
        <w:t xml:space="preserve">[Reviewer Name]</w:t>
      </w:r>
    </w:p>
    <w:p>
      <w:pPr>
        <w:pStyle w:val="BodyText"/>
      </w:pPr>
      <w:r>
        <w:t xml:space="preserve">[Reviewer Title]</w:t>
      </w:r>
    </w:p>
    <w:p>
      <w:pPr>
        <w:pStyle w:val="BodyText"/>
      </w:pPr>
      <w:r>
        <w:t xml:space="preserve">[Organization]</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Israel Jerusalem</dc:title>
  <dc:creator/>
  <dc:language>en</dc:language>
  <cp:keywords/>
  <dcterms:created xsi:type="dcterms:W3CDTF">2026-10-10T06:56:28Z</dcterms:created>
  <dcterms:modified xsi:type="dcterms:W3CDTF">2026-10-10T06:56:28Z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