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Pharmacist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[Insert Date]</w:t>
      </w:r>
    </w:p>
    <w:p>
      <w:pPr>
        <w:pStyle w:val="BodyText"/>
      </w:pPr>
      <w:r>
        <w:rPr>
          <w:bCs/>
          <w:b/>
        </w:rPr>
        <w:t xml:space="preserve">Report Reference Number:</w:t>
      </w:r>
      <w:r>
        <w:t xml:space="preserve"> </w:t>
      </w:r>
      <w:r>
        <w:t xml:space="preserve">[Insert Reference Number]</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pharmacists practising in New Zealand Wellington. The purpose of this review is to assess the clinical competence, professional conduct, and adherence to best practices of the pharmacist under review. This document serves as a formal evaluation tool to ensure that the pharmacist maintains the high standards expected by the Pharmacy Council of New Zealand and aligns with the expectations of the local healthcare community in Wellington.</w:t>
      </w:r>
    </w:p>
    <w:p>
      <w:pPr>
        <w:pStyle w:val="BodyText"/>
      </w:pPr>
      <w:r>
        <w:t xml:space="preserve">The review process is designed to be constructive, focusing on both strengths and areas for improvement. It is conducted in a manner that respects confidentiality and promotes continuous professional development. The findings of this report will contribute to the pharmacist’s ongoing registration and professional growth within the Wellington region.</w:t>
      </w:r>
    </w:p>
    <w:bookmarkEnd w:id="21"/>
    <w:bookmarkStart w:id="22" w:name="pharmacist-details"/>
    <w:p>
      <w:pPr>
        <w:pStyle w:val="Heading2"/>
      </w:pPr>
      <w:r>
        <w:t xml:space="preserve">2. Pharmacist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[Insert Pharmacist Name]</w:t>
            </w:r>
          </w:p>
        </w:tc>
      </w:tr>
      <w:tr>
        <w:tc>
          <w:tcPr/>
          <w:p>
            <w:pPr>
              <w:pStyle w:val="Compact"/>
              <w:jc w:val="left"/>
            </w:pPr>
            <w:r>
              <w:t xml:space="preserve">Registration Number</w:t>
            </w:r>
          </w:p>
        </w:tc>
        <w:tc>
          <w:tcPr/>
          <w:p>
            <w:pPr>
              <w:pStyle w:val="Compact"/>
              <w:jc w:val="left"/>
            </w:pPr>
            <w:r>
              <w:t xml:space="preserve">[Insert Registration Number]</w:t>
            </w:r>
          </w:p>
        </w:tc>
      </w:tr>
      <w:tr>
        <w:tc>
          <w:tcPr/>
          <w:p>
            <w:pPr>
              <w:pStyle w:val="Compact"/>
              <w:jc w:val="left"/>
            </w:pPr>
            <w:r>
              <w:t xml:space="preserve">Place of Practice</w:t>
            </w:r>
          </w:p>
        </w:tc>
        <w:tc>
          <w:tcPr/>
          <w:p>
            <w:pPr>
              <w:pStyle w:val="Compact"/>
              <w:jc w:val="left"/>
            </w:pPr>
            <w:r>
              <w:t xml:space="preserve">[Insert Pharmacy Name and Address, Wellington]</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Specialisations (if any)</w:t>
            </w:r>
          </w:p>
        </w:tc>
        <w:tc>
          <w:tcPr/>
          <w:p>
            <w:pPr>
              <w:pStyle w:val="Compact"/>
              <w:jc w:val="left"/>
            </w:pPr>
            <w:r>
              <w:t xml:space="preserve">[Insert Specialisations]</w:t>
            </w:r>
          </w:p>
        </w:tc>
      </w:tr>
    </w:tbl>
    <w:bookmarkEnd w:id="22"/>
    <w:bookmarkStart w:id="23" w:name="scope-of-the-peer-review"/>
    <w:p>
      <w:pPr>
        <w:pStyle w:val="Heading2"/>
      </w:pPr>
      <w:r>
        <w:t xml:space="preserve">3. Scope of the Peer Review</w:t>
      </w:r>
    </w:p>
    <w:p>
      <w:pPr>
        <w:pStyle w:val="FirstParagraph"/>
      </w:pPr>
      <w:r>
        <w:t xml:space="preserve">The scope of this Peer Review Report encompasses the following key areas relevant to the practice of pharmacy in New Zealand Wellington:</w:t>
      </w:r>
    </w:p>
    <w:p>
      <w:pPr>
        <w:numPr>
          <w:ilvl w:val="0"/>
          <w:numId w:val="1001"/>
        </w:numPr>
        <w:pStyle w:val="Compact"/>
      </w:pPr>
      <w:r>
        <w:t xml:space="preserve">Clinical decision-making and medication management</w:t>
      </w:r>
    </w:p>
    <w:p>
      <w:pPr>
        <w:numPr>
          <w:ilvl w:val="0"/>
          <w:numId w:val="1001"/>
        </w:numPr>
        <w:pStyle w:val="Compact"/>
      </w:pPr>
      <w:r>
        <w:t xml:space="preserve">Compliance with the Medicines Act 1981 and related regulations</w:t>
      </w:r>
    </w:p>
    <w:p>
      <w:pPr>
        <w:numPr>
          <w:ilvl w:val="0"/>
          <w:numId w:val="1001"/>
        </w:numPr>
        <w:pStyle w:val="Compact"/>
      </w:pPr>
      <w:r>
        <w:t xml:space="preserve">Adherence to the Code of Conduct for Pharmacists as outlined by the Pharmacy Council of New Zealand</w:t>
      </w:r>
    </w:p>
    <w:p>
      <w:pPr>
        <w:numPr>
          <w:ilvl w:val="0"/>
          <w:numId w:val="1001"/>
        </w:numPr>
        <w:pStyle w:val="Compact"/>
      </w:pPr>
      <w:r>
        <w:t xml:space="preserve">Patient communication and counselling skills</w:t>
      </w:r>
    </w:p>
    <w:p>
      <w:pPr>
        <w:numPr>
          <w:ilvl w:val="0"/>
          <w:numId w:val="1001"/>
        </w:numPr>
        <w:pStyle w:val="Compact"/>
      </w:pPr>
      <w:r>
        <w:t xml:space="preserve">Collaboration with other healthcare professionals in the Wellington region</w:t>
      </w:r>
    </w:p>
    <w:p>
      <w:pPr>
        <w:numPr>
          <w:ilvl w:val="0"/>
          <w:numId w:val="1001"/>
        </w:numPr>
        <w:pStyle w:val="Compact"/>
      </w:pPr>
      <w:r>
        <w:t xml:space="preserve">Professional development and engagement with continuing education</w:t>
      </w:r>
    </w:p>
    <w:p>
      <w:pPr>
        <w:numPr>
          <w:ilvl w:val="0"/>
          <w:numId w:val="1001"/>
        </w:numPr>
        <w:pStyle w:val="Compact"/>
      </w:pPr>
      <w:r>
        <w:t xml:space="preserve">Management of pharmacy operations and staff supervision (if applicable)</w:t>
      </w:r>
    </w:p>
    <w:p>
      <w:pPr>
        <w:pStyle w:val="FirstParagraph"/>
      </w:pPr>
      <w:r>
        <w:t xml:space="preserve">The review is based on a combination of direct observation, case file audits, interviews with colleagues and patients, and self-assessment by the pharmacist.</w:t>
      </w:r>
    </w:p>
    <w:bookmarkEnd w:id="23"/>
    <w:bookmarkStart w:id="29" w:name="assessment-criteria-and-findings"/>
    <w:p>
      <w:pPr>
        <w:pStyle w:val="Heading2"/>
      </w:pPr>
      <w:r>
        <w:t xml:space="preserve">4. Assessment Criteria and Findings</w:t>
      </w:r>
    </w:p>
    <w:bookmarkStart w:id="24" w:name="clinical-competence"/>
    <w:p>
      <w:pPr>
        <w:pStyle w:val="Heading3"/>
      </w:pPr>
      <w:r>
        <w:t xml:space="preserve">4.1 Clinical Competence</w:t>
      </w:r>
    </w:p>
    <w:p>
      <w:pPr>
        <w:pStyle w:val="FirstParagraph"/>
      </w:pPr>
      <w:r>
        <w:t xml:space="preserve">The pharmacist demonstrates a strong understanding of pharmacology and therapeutic guidelines relevant to the New Zealand context. Case reviews indicate appropriate medication selection, dosing, and monitoring. The pharmacist is proactive in identifying potential drug interactions and adverse effects, ensuring patient safety. In the Wellington setting, where diverse patient populations are served, the pharmacist shows cultural competence and adapts care plans accordingly.</w:t>
      </w:r>
    </w:p>
    <w:bookmarkEnd w:id="24"/>
    <w:bookmarkStart w:id="25" w:name="regulatory-compliance"/>
    <w:p>
      <w:pPr>
        <w:pStyle w:val="Heading3"/>
      </w:pPr>
      <w:r>
        <w:t xml:space="preserve">4.2 Regulatory Compliance</w:t>
      </w:r>
    </w:p>
    <w:p>
      <w:pPr>
        <w:pStyle w:val="FirstParagraph"/>
      </w:pPr>
      <w:r>
        <w:t xml:space="preserve">The pharmacist adheres to the legal and regulatory framework governing pharmacy practice in New Zealand. Documentation is accurate and complete, and controlled drugs are managed in accordance with the Misuse of Drugs Regulations. There is evidence of regular audits and quality assurance processes being implemented within the pharmacy.</w:t>
      </w:r>
    </w:p>
    <w:bookmarkEnd w:id="25"/>
    <w:bookmarkStart w:id="26" w:name="patient-care-and-communication"/>
    <w:p>
      <w:pPr>
        <w:pStyle w:val="Heading3"/>
      </w:pPr>
      <w:r>
        <w:t xml:space="preserve">4.3 Patient Care and Communication</w:t>
      </w:r>
    </w:p>
    <w:p>
      <w:pPr>
        <w:pStyle w:val="FirstParagraph"/>
      </w:pPr>
      <w:r>
        <w:t xml:space="preserve">Feedback from patients and colleagues highlights the pharmacist’s ability to communicate clearly and empathetically. Counselling sessions are thorough, and patients report feeling informed and supported. The pharmacist actively engages in health promotion activities, such as smoking cessation programmes and immunisation services, which are particularly valued in the Wellington community.</w:t>
      </w:r>
    </w:p>
    <w:bookmarkEnd w:id="26"/>
    <w:bookmarkStart w:id="27" w:name="professional-collaboration"/>
    <w:p>
      <w:pPr>
        <w:pStyle w:val="Heading3"/>
      </w:pPr>
      <w:r>
        <w:t xml:space="preserve">4.4 Professional Collaboration</w:t>
      </w:r>
    </w:p>
    <w:p>
      <w:pPr>
        <w:pStyle w:val="FirstParagraph"/>
      </w:pPr>
      <w:r>
        <w:t xml:space="preserve">The pharmacist collaborates effectively with general practitioners, nurses, and other healthcare providers in Wellington. Referrals and consultations are handled promptly, and the pharmacist contributes positively to multidisciplinary team meetings. This collaborative approach enhances patient outcomes and reflects well on the pharmacy profession in the region.</w:t>
      </w:r>
    </w:p>
    <w:bookmarkEnd w:id="27"/>
    <w:bookmarkStart w:id="28" w:name="professional-development"/>
    <w:p>
      <w:pPr>
        <w:pStyle w:val="Heading3"/>
      </w:pPr>
      <w:r>
        <w:t xml:space="preserve">4.5 Professional Development</w:t>
      </w:r>
    </w:p>
    <w:p>
      <w:pPr>
        <w:pStyle w:val="FirstParagraph"/>
      </w:pPr>
      <w:r>
        <w:t xml:space="preserve">The pharmacist is committed to lifelong learning and has completed the required continuing professional development (CPD) hours. Participation in local workshops, conferences, and online courses demonstrates a dedication to staying current with advancements in pharmacy practice. The pharmacist also engages in peer learning activities, contributing to the professional community in Wellington.</w:t>
      </w:r>
    </w:p>
    <w:bookmarkEnd w:id="28"/>
    <w:bookmarkEnd w:id="29"/>
    <w:bookmarkStart w:id="30" w:name="areas-for-improvement"/>
    <w:p>
      <w:pPr>
        <w:pStyle w:val="Heading2"/>
      </w:pPr>
      <w:r>
        <w:t xml:space="preserve">5. Areas for Improvement</w:t>
      </w:r>
    </w:p>
    <w:p>
      <w:pPr>
        <w:pStyle w:val="FirstParagraph"/>
      </w:pPr>
      <w:r>
        <w:t xml:space="preserve">While the pharmacist performs at a high standard, the following areas have been identified for further development:</w:t>
      </w:r>
    </w:p>
    <w:p>
      <w:pPr>
        <w:numPr>
          <w:ilvl w:val="0"/>
          <w:numId w:val="1002"/>
        </w:numPr>
        <w:pStyle w:val="Compact"/>
      </w:pPr>
      <w:r>
        <w:t xml:space="preserve">Enhancing documentation practices to ensure consistency across all patient records.</w:t>
      </w:r>
    </w:p>
    <w:p>
      <w:pPr>
        <w:numPr>
          <w:ilvl w:val="0"/>
          <w:numId w:val="1002"/>
        </w:numPr>
        <w:pStyle w:val="Compact"/>
      </w:pPr>
      <w:r>
        <w:t xml:space="preserve">Increasing involvement in community health initiatives specific to Wellington’s demographic needs.</w:t>
      </w:r>
    </w:p>
    <w:p>
      <w:pPr>
        <w:numPr>
          <w:ilvl w:val="0"/>
          <w:numId w:val="1002"/>
        </w:numPr>
        <w:pStyle w:val="Compact"/>
      </w:pPr>
      <w:r>
        <w:t xml:space="preserve">Exploring advanced training in specialised areas such as oncology or geriatric pharmacy to better serve the local population.</w:t>
      </w:r>
    </w:p>
    <w:p>
      <w:pPr>
        <w:pStyle w:val="FirstParagraph"/>
      </w:pPr>
      <w:r>
        <w:t xml:space="preserve">These recommendations are intended to support the pharmacist’s professional growth and align with the evolving healthcare landscape in New Zealand Wellington.</w:t>
      </w:r>
    </w:p>
    <w:bookmarkEnd w:id="30"/>
    <w:bookmarkStart w:id="31" w:name="conclusion"/>
    <w:p>
      <w:pPr>
        <w:pStyle w:val="Heading2"/>
      </w:pPr>
      <w:r>
        <w:t xml:space="preserve">6. Conclusion</w:t>
      </w:r>
    </w:p>
    <w:p>
      <w:pPr>
        <w:pStyle w:val="FirstParagraph"/>
      </w:pPr>
      <w:r>
        <w:t xml:space="preserve">Overall, the pharmacist under review demonstrates a high level of competence, professionalism, and commitment to patient care. The findings of this Peer Review Report indicate that the pharmacist meets the standards required for practice in New Zealand Wellington. The identified areas for improvement are minor and can be addressed through targeted professional development activities.</w:t>
      </w:r>
    </w:p>
    <w:p>
      <w:pPr>
        <w:pStyle w:val="BodyText"/>
      </w:pPr>
      <w:r>
        <w:t xml:space="preserve">This report confirms that the pharmacist is fit to continue practising and is encouraged to maintain their dedication to excellence in pharmacy practice. The review process has been beneficial in reinforcing best practices and fostering a culture of continuous improvement within the Wellington pharmacy community.</w:t>
      </w:r>
    </w:p>
    <w:bookmarkEnd w:id="31"/>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[Insert Title]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New Zealand Wellington</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