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Pharmacist</w:t>
      </w:r>
    </w:p>
    <w:p>
      <w:pPr>
        <w:pStyle w:val="BodyText"/>
      </w:pPr>
      <w:r>
        <w:rPr>
          <w:bCs/>
          <w:b/>
        </w:rPr>
        <w:t xml:space="preserve">Location:</w:t>
      </w:r>
      <w:r>
        <w:t xml:space="preserve"> </w:t>
      </w:r>
      <w:r>
        <w:t xml:space="preserve">Qatar Doha Healthcare Facility</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Reviewer Name:</w:t>
      </w:r>
      <w:r>
        <w:t xml:space="preserve"> </w:t>
      </w:r>
      <w:r>
        <w:t xml:space="preserve">Dr. Ahmed Al-Mansoori</w:t>
      </w:r>
      <w:r>
        <w:br/>
      </w:r>
      <w:r>
        <w:rPr>
          <w:bCs/>
          <w:b/>
        </w:rPr>
        <w:t xml:space="preserve">Reviewer Title:</w:t>
      </w:r>
      <w:r>
        <w:t xml:space="preserve"> </w:t>
      </w:r>
      <w:r>
        <w:t xml:space="preserve">Senior Clinical Pharmacist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competencies, clinical judgment, and operational efficiency of the</w:t>
      </w:r>
      <w:r>
        <w:t xml:space="preserve"> </w:t>
      </w:r>
      <w:r>
        <w:rPr>
          <w:bCs/>
          <w:b/>
        </w:rPr>
        <w:t xml:space="preserve">Pharmacist</w:t>
      </w:r>
      <w:r>
        <w:t xml:space="preserve"> </w:t>
      </w:r>
      <w:r>
        <w:t xml:space="preserve">under evaluation. Conducted within the rigorous healthcare standards of</w:t>
      </w:r>
      <w:r>
        <w:t xml:space="preserve"> </w:t>
      </w:r>
      <w:r>
        <w:rPr>
          <w:bCs/>
          <w:b/>
        </w:rPr>
        <w:t xml:space="preserve">Qatar Doha</w:t>
      </w:r>
      <w:r>
        <w:t xml:space="preserve">, this review aligns with the guidelines set forth by the Ministry of Public Health (MOPH) and the Primary Health Care Corporation (PHCC). The objective is to ensure that the pharmacist maintains the highest levels of patient safety, medication management, and regulatory compliance expected in the capital's advanced medical infrastructure.</w:t>
      </w:r>
    </w:p>
    <w:bookmarkEnd w:id="21"/>
    <w:bookmarkStart w:id="22" w:name="Xeb1382409c1ccca016b71e78846823ff758dced"/>
    <w:p>
      <w:pPr>
        <w:pStyle w:val="Heading2"/>
      </w:pPr>
      <w:r>
        <w:t xml:space="preserve">2. Clinical Competence and Medication Therapy Management</w:t>
      </w:r>
    </w:p>
    <w:p>
      <w:pPr>
        <w:pStyle w:val="FirstParagraph"/>
      </w:pPr>
      <w:r>
        <w:t xml:space="preserve">The core responsibility of a</w:t>
      </w:r>
      <w:r>
        <w:t xml:space="preserve"> </w:t>
      </w:r>
      <w:r>
        <w:rPr>
          <w:bCs/>
          <w:b/>
        </w:rPr>
        <w:t xml:space="preserve">Pharmacist</w:t>
      </w:r>
      <w:r>
        <w:t xml:space="preserve"> </w:t>
      </w:r>
      <w:r>
        <w:t xml:space="preserve">in</w:t>
      </w:r>
      <w:r>
        <w:t xml:space="preserve"> </w:t>
      </w:r>
      <w:r>
        <w:rPr>
          <w:bCs/>
          <w:b/>
        </w:rPr>
        <w:t xml:space="preserve">Qatar Doha</w:t>
      </w:r>
      <w:r>
        <w:t xml:space="preserve"> </w:t>
      </w:r>
      <w:r>
        <w:t xml:space="preserve">involves active participation in multidisciplinary teams to optimize patient outcomes. During this review period, the subject demonstrated a strong grasp of pharmacokinetics and pharmacodynamics.</w:t>
      </w:r>
    </w:p>
    <w:p>
      <w:pPr>
        <w:numPr>
          <w:ilvl w:val="0"/>
          <w:numId w:val="1001"/>
        </w:numPr>
        <w:pStyle w:val="Compact"/>
      </w:pPr>
      <w:r>
        <w:rPr>
          <w:bCs/>
          <w:b/>
        </w:rPr>
        <w:t xml:space="preserve">Drug Interaction Analysis:</w:t>
      </w:r>
      <w:r>
        <w:t xml:space="preserve"> </w:t>
      </w:r>
      <w:r>
        <w:t xml:space="preserve">The pharmacist consistently identified potential drug-drug and drug-disease interactions, particularly in complex cases involving polypharmacy common in the local demographic.</w:t>
      </w:r>
    </w:p>
    <w:p>
      <w:pPr>
        <w:numPr>
          <w:ilvl w:val="0"/>
          <w:numId w:val="1001"/>
        </w:numPr>
        <w:pStyle w:val="Compact"/>
      </w:pPr>
      <w:r>
        <w:rPr>
          <w:bCs/>
          <w:b/>
        </w:rPr>
        <w:t xml:space="preserve">Antimicrobial Stewardship:</w:t>
      </w:r>
      <w:r>
        <w:t xml:space="preserve"> </w:t>
      </w:r>
      <w:r>
        <w:t xml:space="preserve">Adherence to the national antimicrobial stewardship program was exemplary. The pharmacist provided timely recommendations to physicians regarding antibiotic de-escalation, contributing to the facility's goal of reducing resistance patterns.</w:t>
      </w:r>
    </w:p>
    <w:p>
      <w:pPr>
        <w:numPr>
          <w:ilvl w:val="0"/>
          <w:numId w:val="1001"/>
        </w:numPr>
        <w:pStyle w:val="Compact"/>
      </w:pPr>
      <w:r>
        <w:rPr>
          <w:bCs/>
          <w:b/>
        </w:rPr>
        <w:t xml:space="preserve">Chronic Disease Management:</w:t>
      </w:r>
      <w:r>
        <w:t xml:space="preserve"> </w:t>
      </w:r>
      <w:r>
        <w:t xml:space="preserve">Significant contributions were noted in the management of diabetes and hypertension clinics. The pharmacist engaged effectively with patients, providing counseling that aligned with the Qatar National Diabetes Strategy.</w:t>
      </w:r>
    </w:p>
    <w:bookmarkEnd w:id="22"/>
    <w:bookmarkStart w:id="23" w:name="Xc42fa79d27d655e40f24b60791566687c618f31"/>
    <w:p>
      <w:pPr>
        <w:pStyle w:val="Heading2"/>
      </w:pPr>
      <w:r>
        <w:t xml:space="preserve">3. Regulatory Compliance and Quality Assurance</w:t>
      </w:r>
    </w:p>
    <w:p>
      <w:pPr>
        <w:pStyle w:val="FirstParagraph"/>
      </w:pPr>
      <w:r>
        <w:t xml:space="preserve">Operating in</w:t>
      </w:r>
      <w:r>
        <w:t xml:space="preserve"> </w:t>
      </w:r>
      <w:r>
        <w:rPr>
          <w:bCs/>
          <w:b/>
        </w:rPr>
        <w:t xml:space="preserve">Qatar Doha</w:t>
      </w:r>
      <w:r>
        <w:t xml:space="preserve"> </w:t>
      </w:r>
      <w:r>
        <w:t xml:space="preserve">requires strict adherence to local laws and international quality standards. This section of the</w:t>
      </w:r>
      <w:r>
        <w:t xml:space="preserve"> </w:t>
      </w:r>
      <w:r>
        <w:rPr>
          <w:bCs/>
          <w:b/>
        </w:rPr>
        <w:t xml:space="preserve">Peer Review Report</w:t>
      </w:r>
      <w:r>
        <w:t xml:space="preserve"> </w:t>
      </w:r>
      <w:r>
        <w:t xml:space="preserve">evaluates the pharmacist's compliance with these mandates.</w:t>
      </w:r>
    </w:p>
    <w:p>
      <w:pPr>
        <w:pStyle w:val="BodyText"/>
      </w:pPr>
      <w:r>
        <w:rPr>
          <w:bCs/>
          <w:b/>
        </w:rPr>
        <w:t xml:space="preserve">Key Observation:</w:t>
      </w:r>
      <w:r>
        <w:t xml:space="preserve"> </w:t>
      </w:r>
      <w:r>
        <w:t xml:space="preserve">The pharmacist demonstrated full compliance with the Controlled Medicines Act and the regulations governing the storage and dispensing of narcotics, a critical requirement for all healthcare facilities in Doha.</w:t>
      </w:r>
    </w:p>
    <w:p>
      <w:pPr>
        <w:numPr>
          <w:ilvl w:val="0"/>
          <w:numId w:val="1002"/>
        </w:numPr>
        <w:pStyle w:val="Compact"/>
      </w:pPr>
      <w:r>
        <w:rPr>
          <w:bCs/>
          <w:b/>
        </w:rPr>
        <w:t xml:space="preserve">Inventory Management:</w:t>
      </w:r>
      <w:r>
        <w:t xml:space="preserve"> </w:t>
      </w:r>
      <w:r>
        <w:t xml:space="preserve">The pharmacist maintained accurate records of stock levels, ensuring zero stock-outs of essential medicines while minimizing waste through proper rotation of stock (FEFO - First Expired, First Out).</w:t>
      </w:r>
    </w:p>
    <w:p>
      <w:pPr>
        <w:numPr>
          <w:ilvl w:val="0"/>
          <w:numId w:val="1002"/>
        </w:numPr>
        <w:pStyle w:val="Compact"/>
      </w:pPr>
      <w:r>
        <w:rPr>
          <w:bCs/>
          <w:b/>
        </w:rPr>
        <w:t xml:space="preserve">Documentation:</w:t>
      </w:r>
      <w:r>
        <w:t xml:space="preserve"> </w:t>
      </w:r>
      <w:r>
        <w:t xml:space="preserve">All prescription verifications and clinical interventions were documented accurately in the electronic health record (EHR) system, ensuring audit readiness for MOPH inspections.</w:t>
      </w:r>
    </w:p>
    <w:p>
      <w:pPr>
        <w:numPr>
          <w:ilvl w:val="0"/>
          <w:numId w:val="1002"/>
        </w:numPr>
        <w:pStyle w:val="Compact"/>
      </w:pPr>
      <w:r>
        <w:rPr>
          <w:bCs/>
          <w:b/>
        </w:rPr>
        <w:t xml:space="preserve">Pharmacovigilance:</w:t>
      </w:r>
      <w:r>
        <w:t xml:space="preserve"> </w:t>
      </w:r>
      <w:r>
        <w:t xml:space="preserve">The subject actively participated in the reporting of adverse drug reactions (ADRs) to the national pharmacovigilance center, enhancing the safety profile of medications used within the facility.</w:t>
      </w:r>
    </w:p>
    <w:bookmarkEnd w:id="23"/>
    <w:bookmarkStart w:id="24" w:name="patient-care-and-communication-skills"/>
    <w:p>
      <w:pPr>
        <w:pStyle w:val="Heading2"/>
      </w:pPr>
      <w:r>
        <w:t xml:space="preserve">4. Patient Care and Communication Skills</w:t>
      </w:r>
    </w:p>
    <w:p>
      <w:pPr>
        <w:pStyle w:val="FirstParagraph"/>
      </w:pPr>
      <w:r>
        <w:t xml:space="preserve">The cultural diversity of</w:t>
      </w:r>
      <w:r>
        <w:t xml:space="preserve"> </w:t>
      </w:r>
      <w:r>
        <w:rPr>
          <w:bCs/>
          <w:b/>
        </w:rPr>
        <w:t xml:space="preserve">Qatar Doha</w:t>
      </w:r>
      <w:r>
        <w:t xml:space="preserve"> </w:t>
      </w:r>
      <w:r>
        <w:t xml:space="preserve">necessitates exceptional communication skills. The</w:t>
      </w:r>
      <w:r>
        <w:t xml:space="preserve"> </w:t>
      </w:r>
      <w:r>
        <w:rPr>
          <w:bCs/>
          <w:b/>
        </w:rPr>
        <w:t xml:space="preserve">Pharmacist</w:t>
      </w:r>
      <w:r>
        <w:t xml:space="preserve"> </w:t>
      </w:r>
      <w:r>
        <w:t xml:space="preserve">was evaluated on their ability to communicate effectively with a multicultural patient population and healthcare staff.</w:t>
      </w:r>
    </w:p>
    <w:p>
      <w:pPr>
        <w:numPr>
          <w:ilvl w:val="0"/>
          <w:numId w:val="1003"/>
        </w:numPr>
        <w:pStyle w:val="Compact"/>
      </w:pPr>
      <w:r>
        <w:rPr>
          <w:bCs/>
          <w:b/>
        </w:rPr>
        <w:t xml:space="preserve">Patient Counseling:</w:t>
      </w:r>
      <w:r>
        <w:t xml:space="preserve"> </w:t>
      </w:r>
      <w:r>
        <w:t xml:space="preserve">The pharmacist utilized clear, non-technical language to explain medication regimens, ensuring patient understanding and adherence. Cultural sensitivity was observed when interacting with patients from various backgrounds.</w:t>
      </w:r>
    </w:p>
    <w:p>
      <w:pPr>
        <w:numPr>
          <w:ilvl w:val="0"/>
          <w:numId w:val="1003"/>
        </w:numPr>
        <w:pStyle w:val="Compact"/>
      </w:pPr>
      <w:r>
        <w:rPr>
          <w:bCs/>
          <w:b/>
        </w:rPr>
        <w:t xml:space="preserve">Interprofessional Collaboration:</w:t>
      </w:r>
      <w:r>
        <w:t xml:space="preserve"> </w:t>
      </w:r>
      <w:r>
        <w:t xml:space="preserve">The subject maintained a professional and collaborative relationship with physicians, nurses, and allied health professionals. Constructive feedback was provided during ward rounds, fostering a culture of safety.</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(CPD) is mandatory for healthcare practitioners in Qatar. This</w:t>
      </w:r>
      <w:r>
        <w:t xml:space="preserve"> </w:t>
      </w:r>
      <w:r>
        <w:rPr>
          <w:bCs/>
          <w:b/>
        </w:rPr>
        <w:t xml:space="preserve">Peer Review Report</w:t>
      </w:r>
      <w:r>
        <w:t xml:space="preserve"> </w:t>
      </w:r>
      <w:r>
        <w:t xml:space="preserve">confirms that the</w:t>
      </w:r>
      <w:r>
        <w:t xml:space="preserve"> </w:t>
      </w:r>
      <w:r>
        <w:rPr>
          <w:bCs/>
          <w:b/>
        </w:rPr>
        <w:t xml:space="preserve">Pharmacist</w:t>
      </w:r>
      <w:r>
        <w:t xml:space="preserve"> </w:t>
      </w:r>
      <w:r>
        <w:t xml:space="preserve">has met the required CPD hours.</w:t>
      </w:r>
    </w:p>
    <w:p>
      <w:pPr>
        <w:numPr>
          <w:ilvl w:val="0"/>
          <w:numId w:val="1004"/>
        </w:numPr>
        <w:pStyle w:val="Compact"/>
      </w:pPr>
      <w:r>
        <w:rPr>
          <w:bCs/>
          <w:b/>
        </w:rPr>
        <w:t xml:space="preserve">Education:</w:t>
      </w:r>
      <w:r>
        <w:t xml:space="preserve"> </w:t>
      </w:r>
      <w:r>
        <w:t xml:space="preserve">The pharmacist attended relevant workshops and conferences focused on emerging therapies and healthcare policies in the Gulf region.</w:t>
      </w:r>
    </w:p>
    <w:p>
      <w:pPr>
        <w:numPr>
          <w:ilvl w:val="0"/>
          <w:numId w:val="1004"/>
        </w:numPr>
        <w:pStyle w:val="Compact"/>
      </w:pPr>
      <w:r>
        <w:rPr>
          <w:bCs/>
          <w:b/>
        </w:rPr>
        <w:t xml:space="preserve">Ethical Conduct:</w:t>
      </w:r>
      <w:r>
        <w:t xml:space="preserve"> </w:t>
      </w:r>
      <w:r>
        <w:t xml:space="preserve">The subject upheld the highest ethical standards, maintaining patient confidentiality and demonstrating integrity in all professional dealings, in accordance with the Code of Conduct for Healthcare Professionals in Qatar.</w:t>
      </w:r>
    </w:p>
    <w:bookmarkEnd w:id="25"/>
    <w:bookmarkStart w:id="26" w:name="areas-for-improvement"/>
    <w:p>
      <w:pPr>
        <w:pStyle w:val="Heading2"/>
      </w:pPr>
      <w:r>
        <w:t xml:space="preserve">6. Areas for Improvement</w:t>
      </w:r>
    </w:p>
    <w:p>
      <w:pPr>
        <w:pStyle w:val="FirstParagraph"/>
      </w:pPr>
      <w:r>
        <w:t xml:space="preserve">While the performance has been largely satisfactory, the following areas have been identified for enhancement to further align with the excellence standards of</w:t>
      </w:r>
      <w:r>
        <w:t xml:space="preserve"> </w:t>
      </w:r>
      <w:r>
        <w:rPr>
          <w:bCs/>
          <w:b/>
        </w:rPr>
        <w:t xml:space="preserve">Qatar Doha</w:t>
      </w:r>
      <w:r>
        <w:t xml:space="preserve"> </w:t>
      </w:r>
      <w:r>
        <w:t xml:space="preserve">healthcare:</w:t>
      </w:r>
    </w:p>
    <w:p>
      <w:pPr>
        <w:numPr>
          <w:ilvl w:val="0"/>
          <w:numId w:val="1005"/>
        </w:numPr>
        <w:pStyle w:val="Compact"/>
      </w:pPr>
      <w:r>
        <w:rPr>
          <w:bCs/>
          <w:b/>
        </w:rPr>
        <w:t xml:space="preserve">Research Participation:</w:t>
      </w:r>
      <w:r>
        <w:t xml:space="preserve"> </w:t>
      </w:r>
      <w:r>
        <w:t xml:space="preserve">It is recommended that the pharmacist increase involvement in local clinical research projects to contribute to the evidence base of pharmacy practice in the region.</w:t>
      </w:r>
    </w:p>
    <w:p>
      <w:pPr>
        <w:numPr>
          <w:ilvl w:val="0"/>
          <w:numId w:val="1005"/>
        </w:numPr>
        <w:pStyle w:val="Compact"/>
      </w:pPr>
      <w:r>
        <w:rPr>
          <w:bCs/>
          <w:b/>
        </w:rPr>
        <w:t xml:space="preserve">Leadership Skills:</w:t>
      </w:r>
      <w:r>
        <w:t xml:space="preserve"> </w:t>
      </w:r>
      <w:r>
        <w:t xml:space="preserve">Opportunities should be sought to mentor junior pharmacy technicians and students, developing leadership capabilities within the department.</w:t>
      </w:r>
    </w:p>
    <w:bookmarkEnd w:id="26"/>
    <w:bookmarkStart w:id="27" w:name="conclusion-and-recommendation"/>
    <w:p>
      <w:pPr>
        <w:pStyle w:val="Heading2"/>
      </w:pPr>
      <w:r>
        <w:t xml:space="preserve">7. Conclusion and Recommendation</w:t>
      </w:r>
    </w:p>
    <w:p>
      <w:pPr>
        <w:pStyle w:val="FirstParagraph"/>
      </w:pPr>
      <w:r>
        <w:t xml:space="preserve">Based on the evidence gathered during this</w:t>
      </w:r>
      <w:r>
        <w:t xml:space="preserve"> </w:t>
      </w:r>
      <w:r>
        <w:rPr>
          <w:bCs/>
          <w:b/>
        </w:rPr>
        <w:t xml:space="preserve">Peer Review Report</w:t>
      </w:r>
      <w:r>
        <w:t xml:space="preserve">, the</w:t>
      </w:r>
      <w:r>
        <w:t xml:space="preserve"> </w:t>
      </w:r>
      <w:r>
        <w:rPr>
          <w:bCs/>
          <w:b/>
        </w:rPr>
        <w:t xml:space="preserve">Pharmacist</w:t>
      </w:r>
      <w:r>
        <w:t xml:space="preserve"> </w:t>
      </w:r>
      <w:r>
        <w:t xml:space="preserve">has demonstrated a high level of competence, dedication, and professionalism. Their contributions to patient safety and medication management are vital to the operations of this facility in</w:t>
      </w:r>
      <w:r>
        <w:t xml:space="preserve"> </w:t>
      </w:r>
      <w:r>
        <w:rPr>
          <w:bCs/>
          <w:b/>
        </w:rPr>
        <w:t xml:space="preserve">Qatar Doha</w:t>
      </w:r>
      <w:r>
        <w:t xml:space="preserve">.</w:t>
      </w:r>
    </w:p>
    <w:p>
      <w:pPr>
        <w:pStyle w:val="BodyText"/>
      </w:pPr>
      <w:r>
        <w:rPr>
          <w:bCs/>
          <w:b/>
        </w:rPr>
        <w:t xml:space="preserve">Recommendation:</w:t>
      </w:r>
      <w:r>
        <w:t xml:space="preserve"> </w:t>
      </w:r>
      <w:r>
        <w:t xml:space="preserve">The pharmacist is recommended for continued employment and eligibility for license renewal with the relevant health authorities. It is advised that the identified areas for improvement be addressed in the upcoming performance development plan.</w:t>
      </w:r>
    </w:p>
    <w:bookmarkEnd w:id="27"/>
    <w:p>
      <w:pPr>
        <w:pStyle w:val="BodyText"/>
      </w:pPr>
      <w:r>
        <w:rPr>
          <w:bCs/>
          <w:b/>
        </w:rPr>
        <w:t xml:space="preserve">Reviewer Signature</w:t>
      </w:r>
      <w:r>
        <w:br/>
      </w:r>
      <w:r>
        <w:t xml:space="preserve">Dr. Ahmed Al-Mansoori</w:t>
      </w:r>
      <w:r>
        <w:br/>
      </w:r>
      <w:r>
        <w:t xml:space="preserve">Senior Clinical Pharmacist</w:t>
      </w:r>
    </w:p>
    <w:p>
      <w:pPr>
        <w:pStyle w:val="BodyText"/>
      </w:pPr>
      <w:r>
        <w:rPr>
          <w:bCs/>
          <w:b/>
        </w:rPr>
        <w:t xml:space="preserve">Pharmacist Acknowledgment</w:t>
      </w:r>
      <w:r>
        <w:br/>
      </w:r>
      <w:r>
        <w:t xml:space="preserve">[Name of Pharmacist]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 - Qatar Doha</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