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Pharmacist Performance Evaluation</w:t>
      </w:r>
    </w:p>
    <w:p>
      <w:pPr>
        <w:pStyle w:val="BodyText"/>
      </w:pPr>
      <w:r>
        <w:rPr>
          <w:bCs/>
          <w:b/>
        </w:rPr>
        <w:t xml:space="preserve">Location:</w:t>
      </w:r>
      <w:r>
        <w:t xml:space="preserve"> </w:t>
      </w:r>
      <w:r>
        <w:t xml:space="preserve">Saudi Arabia, Riyadh</w:t>
      </w:r>
    </w:p>
    <w:p>
      <w:pPr>
        <w:pStyle w:val="BodyText"/>
      </w:pPr>
      <w:r>
        <w:rPr>
          <w:bCs/>
          <w:b/>
        </w:rPr>
        <w:t xml:space="preserve">Date:</w:t>
      </w:r>
      <w:r>
        <w:t xml:space="preserve"> </w:t>
      </w:r>
      <w:r>
        <w:t xml:space="preserve">[Insert Date]</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clinical competence, and adherence to regulatory standards of a Pharmacist practicing in Riyadh, Saudi Arabia. The review aligns with the guidelines set by the Saudi Commission for Health Specialties (SCFHS) and the Ministry of Health (MOH) to ensure the highest standards of pharmaceutical care and patient safety.</w:t>
      </w:r>
    </w:p>
    <w:p>
      <w:pPr>
        <w:pStyle w:val="BodyText"/>
      </w:pPr>
      <w:r>
        <w:t xml:space="preserve">The purpose of this evaluation is to provide constructive feedback, identify areas of strength, and recommend improvements to enhance the Pharmacist's professional practice within the healthcare system of Riyadh.</w:t>
      </w:r>
    </w:p>
    <w:bookmarkEnd w:id="21"/>
    <w:bookmarkStart w:id="22" w:name="pharmacist-information"/>
    <w:p>
      <w:pPr>
        <w:pStyle w:val="Heading2"/>
      </w:pPr>
      <w:r>
        <w:t xml:space="preserve">2. Pharmacist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[Insert Pharmacist's Name]</w:t>
            </w:r>
          </w:p>
        </w:tc>
      </w:tr>
      <w:tr>
        <w:tc>
          <w:tcPr/>
          <w:p>
            <w:pPr>
              <w:pStyle w:val="Compact"/>
              <w:jc w:val="left"/>
            </w:pPr>
            <w:r>
              <w:t xml:space="preserve">License Number</w:t>
            </w:r>
          </w:p>
        </w:tc>
        <w:tc>
          <w:tcPr/>
          <w:p>
            <w:pPr>
              <w:pStyle w:val="Compact"/>
              <w:jc w:val="left"/>
            </w:pPr>
            <w:r>
              <w:t xml:space="preserve">[Insert License Number]</w:t>
            </w:r>
          </w:p>
        </w:tc>
      </w:tr>
      <w:tr>
        <w:tc>
          <w:tcPr/>
          <w:p>
            <w:pPr>
              <w:pStyle w:val="Compact"/>
              <w:jc w:val="left"/>
            </w:pPr>
            <w:r>
              <w:t xml:space="preserve">Specialization</w:t>
            </w:r>
          </w:p>
        </w:tc>
        <w:tc>
          <w:tcPr/>
          <w:p>
            <w:pPr>
              <w:pStyle w:val="Compact"/>
              <w:jc w:val="left"/>
            </w:pPr>
            <w:r>
              <w:t xml:space="preserve">[Insert Specialization, e.g., Clinical Pharmacy, Community Pharmacy]</w:t>
            </w:r>
          </w:p>
        </w:tc>
      </w:tr>
      <w:tr>
        <w:tc>
          <w:tcPr/>
          <w:p>
            <w:pPr>
              <w:pStyle w:val="Compact"/>
              <w:jc w:val="left"/>
            </w:pPr>
            <w:r>
              <w:t xml:space="preserve">Workplace</w:t>
            </w:r>
          </w:p>
        </w:tc>
        <w:tc>
          <w:tcPr/>
          <w:p>
            <w:pPr>
              <w:pStyle w:val="Compact"/>
              <w:jc w:val="left"/>
            </w:pPr>
            <w:r>
              <w:t xml:space="preserve">[Insert Hospital/Pharmacy Name, Riyadh]</w:t>
            </w:r>
          </w:p>
        </w:tc>
      </w:tr>
      <w:tr>
        <w:tc>
          <w:tcPr/>
          <w:p>
            <w:pPr>
              <w:pStyle w:val="Compact"/>
              <w:jc w:val="left"/>
            </w:pPr>
            <w:r>
              <w:t xml:space="preserve">Years of Experience</w:t>
            </w:r>
          </w:p>
        </w:tc>
        <w:tc>
          <w:tcPr/>
          <w:p>
            <w:pPr>
              <w:pStyle w:val="Compact"/>
              <w:jc w:val="left"/>
            </w:pPr>
            <w:r>
              <w:t xml:space="preserve">[Insert Years]</w:t>
            </w:r>
          </w:p>
        </w:tc>
      </w:tr>
    </w:tbl>
    <w:bookmarkEnd w:id="22"/>
    <w:bookmarkStart w:id="23" w:name="evaluation-criteria"/>
    <w:p>
      <w:pPr>
        <w:pStyle w:val="Heading2"/>
      </w:pPr>
      <w:r>
        <w:t xml:space="preserve">3. Evaluation Criteria</w:t>
      </w:r>
    </w:p>
    <w:p>
      <w:pPr>
        <w:pStyle w:val="FirstParagraph"/>
      </w:pPr>
      <w:r>
        <w:t xml:space="preserve">The Pharmacist's performance was evaluated based on the following key areas:</w:t>
      </w:r>
    </w:p>
    <w:p>
      <w:pPr>
        <w:numPr>
          <w:ilvl w:val="0"/>
          <w:numId w:val="1001"/>
        </w:numPr>
        <w:pStyle w:val="Compact"/>
      </w:pPr>
      <w:r>
        <w:t xml:space="preserve">Clinical Knowledge and Expertise</w:t>
      </w:r>
    </w:p>
    <w:p>
      <w:pPr>
        <w:numPr>
          <w:ilvl w:val="0"/>
          <w:numId w:val="1001"/>
        </w:numPr>
        <w:pStyle w:val="Compact"/>
      </w:pPr>
      <w:r>
        <w:t xml:space="preserve">Medication Management and Safety</w:t>
      </w:r>
    </w:p>
    <w:p>
      <w:pPr>
        <w:numPr>
          <w:ilvl w:val="0"/>
          <w:numId w:val="1001"/>
        </w:numPr>
        <w:pStyle w:val="Compact"/>
      </w:pPr>
      <w:r>
        <w:t xml:space="preserve">Patient Counseling and Communication</w:t>
      </w:r>
    </w:p>
    <w:p>
      <w:pPr>
        <w:numPr>
          <w:ilvl w:val="0"/>
          <w:numId w:val="1001"/>
        </w:numPr>
        <w:pStyle w:val="Compact"/>
      </w:pPr>
      <w:r>
        <w:t xml:space="preserve">Compliance with Saudi Regulations</w:t>
      </w:r>
    </w:p>
    <w:p>
      <w:pPr>
        <w:numPr>
          <w:ilvl w:val="0"/>
          <w:numId w:val="1001"/>
        </w:numPr>
        <w:pStyle w:val="Compact"/>
      </w:pPr>
      <w:r>
        <w:t xml:space="preserve">Professionalism and Ethics</w:t>
      </w:r>
    </w:p>
    <w:p>
      <w:pPr>
        <w:numPr>
          <w:ilvl w:val="0"/>
          <w:numId w:val="1001"/>
        </w:numPr>
        <w:pStyle w:val="Compact"/>
      </w:pPr>
      <w:r>
        <w:t xml:space="preserve">Continuous Professional Development (CPD)</w:t>
      </w:r>
    </w:p>
    <w:bookmarkEnd w:id="23"/>
    <w:bookmarkStart w:id="30" w:name="detailed-assessment"/>
    <w:p>
      <w:pPr>
        <w:pStyle w:val="Heading2"/>
      </w:pPr>
      <w:r>
        <w:t xml:space="preserve">4. Detailed Assessment</w:t>
      </w:r>
    </w:p>
    <w:bookmarkStart w:id="24" w:name="clinical-knowledge-and-expertise"/>
    <w:p>
      <w:pPr>
        <w:pStyle w:val="Heading3"/>
      </w:pPr>
      <w:r>
        <w:t xml:space="preserve">4.1 Clinical Knowledge and Expertise</w:t>
      </w:r>
    </w:p>
    <w:p>
      <w:pPr>
        <w:pStyle w:val="FirstParagraph"/>
      </w:pPr>
      <w:r>
        <w:t xml:space="preserve">The Pharmacist demonstrated a strong understanding of pharmacology, therapeutics, and evidence-based medicine. Their ability to interpret clinical data and recommend appropriate medication therapies was commendable. However, there is room for improvement in staying updated with the latest clinical guidelines specific to chronic diseases prevalent in Saudi Arabia, such as diabetes and hypertension.</w:t>
      </w:r>
    </w:p>
    <w:bookmarkEnd w:id="24"/>
    <w:bookmarkStart w:id="25" w:name="medication-management-and-safety"/>
    <w:p>
      <w:pPr>
        <w:pStyle w:val="Heading3"/>
      </w:pPr>
      <w:r>
        <w:t xml:space="preserve">4.2 Medication Management and Safety</w:t>
      </w:r>
    </w:p>
    <w:p>
      <w:pPr>
        <w:pStyle w:val="FirstParagraph"/>
      </w:pPr>
      <w:r>
        <w:t xml:space="preserve">The Pharmacist consistently followed protocols for medication dispensing, storage, and inventory management. They showed diligence in identifying potential drug interactions and adverse effects. Nevertheless, occasional delays in reconciling medication lists during patient transitions of care were noted, which could pose risks in a fast-paced environment like Riyadh's healthcare facilities.</w:t>
      </w:r>
    </w:p>
    <w:bookmarkEnd w:id="25"/>
    <w:bookmarkStart w:id="26" w:name="patient-counseling-and-communication"/>
    <w:p>
      <w:pPr>
        <w:pStyle w:val="Heading3"/>
      </w:pPr>
      <w:r>
        <w:t xml:space="preserve">4.3 Patient Counseling and Communication</w:t>
      </w:r>
    </w:p>
    <w:p>
      <w:pPr>
        <w:pStyle w:val="FirstParagraph"/>
      </w:pPr>
      <w:r>
        <w:t xml:space="preserve">The Pharmacist exhibited excellent communication skills when counseling patients on medication usage, side effects, and lifestyle modifications. Their ability to explain complex medical information in simple terms was particularly effective. However, further training in cultural sensitivity and language proficiency (e.g., Arabic) could enhance their interactions with diverse patient populations in Saudi Arabia.</w:t>
      </w:r>
    </w:p>
    <w:bookmarkEnd w:id="26"/>
    <w:bookmarkStart w:id="27" w:name="compliance-with-saudi-regulations"/>
    <w:p>
      <w:pPr>
        <w:pStyle w:val="Heading3"/>
      </w:pPr>
      <w:r>
        <w:t xml:space="preserve">4.4 Compliance with Saudi Regulations</w:t>
      </w:r>
    </w:p>
    <w:p>
      <w:pPr>
        <w:pStyle w:val="FirstParagraph"/>
      </w:pPr>
      <w:r>
        <w:t xml:space="preserve">The Pharmacist adhered to the regulations outlined by the SCFHS and MOH, including proper documentation and reporting of adverse drug events. They maintained accurate records and ensured compliance with controlled substance laws. No significant violations were observed during the review period.</w:t>
      </w:r>
    </w:p>
    <w:bookmarkEnd w:id="27"/>
    <w:bookmarkStart w:id="28" w:name="professionalism-and-ethics"/>
    <w:p>
      <w:pPr>
        <w:pStyle w:val="Heading3"/>
      </w:pPr>
      <w:r>
        <w:t xml:space="preserve">4.5 Professionalism and Ethics</w:t>
      </w:r>
    </w:p>
    <w:p>
      <w:pPr>
        <w:pStyle w:val="FirstParagraph"/>
      </w:pPr>
      <w:r>
        <w:t xml:space="preserve">The Pharmacist displayed a high level of professionalism, integrity, and respect towards colleagues and patients. They upheld ethical standards in all aspects of their practice, including confidentiality and informed consent. Their collaborative approach with healthcare teams contributed positively to patient outcomes.</w:t>
      </w:r>
    </w:p>
    <w:bookmarkEnd w:id="28"/>
    <w:bookmarkStart w:id="29" w:name="continuous-professional-development-cpd"/>
    <w:p>
      <w:pPr>
        <w:pStyle w:val="Heading3"/>
      </w:pPr>
      <w:r>
        <w:t xml:space="preserve">4.6 Continuous Professional Development (CPD)</w:t>
      </w:r>
    </w:p>
    <w:p>
      <w:pPr>
        <w:pStyle w:val="FirstParagraph"/>
      </w:pPr>
      <w:r>
        <w:t xml:space="preserve">The Pharmacist actively participated in CPD activities, including workshops, seminars, and online courses. However, there is an opportunity to engage more deeply in research or quality improvement projects relevant to the healthcare needs of Riyadh and Saudi Arabia.</w:t>
      </w:r>
    </w:p>
    <w:bookmarkEnd w:id="29"/>
    <w:bookmarkEnd w:id="30"/>
    <w:bookmarkStart w:id="31" w:name="strengths"/>
    <w:p>
      <w:pPr>
        <w:pStyle w:val="Heading2"/>
      </w:pPr>
      <w:r>
        <w:t xml:space="preserve">5. Strengths</w:t>
      </w:r>
    </w:p>
    <w:p>
      <w:pPr>
        <w:numPr>
          <w:ilvl w:val="0"/>
          <w:numId w:val="1002"/>
        </w:numPr>
        <w:pStyle w:val="Compact"/>
      </w:pPr>
      <w:r>
        <w:t xml:space="preserve">Strong clinical knowledge and decision-making skills.</w:t>
      </w:r>
    </w:p>
    <w:p>
      <w:pPr>
        <w:numPr>
          <w:ilvl w:val="0"/>
          <w:numId w:val="1002"/>
        </w:numPr>
        <w:pStyle w:val="Compact"/>
      </w:pPr>
      <w:r>
        <w:t xml:space="preserve">Effective patient counseling and communication abilities.</w:t>
      </w:r>
    </w:p>
    <w:p>
      <w:pPr>
        <w:numPr>
          <w:ilvl w:val="0"/>
          <w:numId w:val="1002"/>
        </w:numPr>
        <w:pStyle w:val="Compact"/>
      </w:pPr>
      <w:r>
        <w:t xml:space="preserve">High level of compliance with regulatory standards.</w:t>
      </w:r>
    </w:p>
    <w:p>
      <w:pPr>
        <w:numPr>
          <w:ilvl w:val="0"/>
          <w:numId w:val="1002"/>
        </w:numPr>
        <w:pStyle w:val="Compact"/>
      </w:pPr>
      <w:r>
        <w:t xml:space="preserve">Professional demeanor and ethical conduct.</w:t>
      </w:r>
    </w:p>
    <w:bookmarkEnd w:id="31"/>
    <w:bookmarkStart w:id="32" w:name="areas-for-improvement"/>
    <w:p>
      <w:pPr>
        <w:pStyle w:val="Heading2"/>
      </w:pPr>
      <w:r>
        <w:t xml:space="preserve">6. Areas for Improvement</w:t>
      </w:r>
    </w:p>
    <w:p>
      <w:pPr>
        <w:numPr>
          <w:ilvl w:val="0"/>
          <w:numId w:val="1003"/>
        </w:numPr>
        <w:pStyle w:val="Compact"/>
      </w:pPr>
      <w:r>
        <w:t xml:space="preserve">Enhance knowledge of local clinical guidelines for chronic diseases.</w:t>
      </w:r>
    </w:p>
    <w:p>
      <w:pPr>
        <w:numPr>
          <w:ilvl w:val="0"/>
          <w:numId w:val="1003"/>
        </w:numPr>
        <w:pStyle w:val="Compact"/>
      </w:pPr>
      <w:r>
        <w:t xml:space="preserve">Improve efficiency in medication reconciliation processes.</w:t>
      </w:r>
    </w:p>
    <w:p>
      <w:pPr>
        <w:numPr>
          <w:ilvl w:val="0"/>
          <w:numId w:val="1003"/>
        </w:numPr>
        <w:pStyle w:val="Compact"/>
      </w:pPr>
      <w:r>
        <w:t xml:space="preserve">Develop cultural and linguistic competencies for better patient engagement.</w:t>
      </w:r>
    </w:p>
    <w:p>
      <w:pPr>
        <w:numPr>
          <w:ilvl w:val="0"/>
          <w:numId w:val="1003"/>
        </w:numPr>
        <w:pStyle w:val="Compact"/>
      </w:pPr>
      <w:r>
        <w:t xml:space="preserve">Increase involvement in research and quality improvement initiatives.</w:t>
      </w:r>
    </w:p>
    <w:bookmarkEnd w:id="32"/>
    <w:bookmarkStart w:id="33" w:name="recommendations"/>
    <w:p>
      <w:pPr>
        <w:pStyle w:val="Heading2"/>
      </w:pPr>
      <w:r>
        <w:t xml:space="preserve">7. Recommendations</w:t>
      </w:r>
    </w:p>
    <w:p>
      <w:pPr>
        <w:pStyle w:val="FirstParagraph"/>
      </w:pPr>
      <w:r>
        <w:t xml:space="preserve">To further enhance the Pharmacist's performance and contribution to healthcare in Riyadh, the following recommendations are made:</w:t>
      </w:r>
    </w:p>
    <w:p>
      <w:pPr>
        <w:numPr>
          <w:ilvl w:val="0"/>
          <w:numId w:val="1004"/>
        </w:numPr>
        <w:pStyle w:val="Compact"/>
      </w:pPr>
      <w:r>
        <w:t xml:space="preserve">Enroll in advanced training programs focused on chronic disease management and Saudi-specific healthcare protocols.</w:t>
      </w:r>
    </w:p>
    <w:p>
      <w:pPr>
        <w:numPr>
          <w:ilvl w:val="0"/>
          <w:numId w:val="1004"/>
        </w:numPr>
        <w:pStyle w:val="Compact"/>
      </w:pPr>
      <w:r>
        <w:t xml:space="preserve">Participate in workshops on medication reconciliation best practices.</w:t>
      </w:r>
    </w:p>
    <w:p>
      <w:pPr>
        <w:numPr>
          <w:ilvl w:val="0"/>
          <w:numId w:val="1004"/>
        </w:numPr>
        <w:pStyle w:val="Compact"/>
      </w:pPr>
      <w:r>
        <w:t xml:space="preserve">Undertake language and cultural sensitivity training to better serve diverse patient groups.</w:t>
      </w:r>
    </w:p>
    <w:p>
      <w:pPr>
        <w:numPr>
          <w:ilvl w:val="0"/>
          <w:numId w:val="1004"/>
        </w:numPr>
        <w:pStyle w:val="Compact"/>
      </w:pPr>
      <w:r>
        <w:t xml:space="preserve">Engage in collaborative research projects or quality improvement initiatives within their workplace.</w:t>
      </w:r>
    </w:p>
    <w:bookmarkEnd w:id="33"/>
    <w:bookmarkStart w:id="34" w:name="conclusion"/>
    <w:p>
      <w:pPr>
        <w:pStyle w:val="Heading2"/>
      </w:pPr>
      <w:r>
        <w:t xml:space="preserve">8. Conclusion</w:t>
      </w:r>
    </w:p>
    <w:p>
      <w:pPr>
        <w:pStyle w:val="FirstParagraph"/>
      </w:pPr>
      <w:r>
        <w:t xml:space="preserve">This Peer Review Report highlights the Pharmacist's strengths and areas for growth in their professional practice within Riyadh, Saudi Arabia. By addressing the identified areas for improvement and implementing the recommended actions, the Pharmacist can further elevate their contributions to patient care and the broader healthcare system. Regular follow-up evaluations are encouraged to monitor progress and ensure ongoing compliance with national standards.</w:t>
      </w:r>
    </w:p>
    <w:bookmarkEnd w:id="34"/>
    <w:p>
      <w:pPr>
        <w:pStyle w:val="BodyText"/>
      </w:pPr>
      <w:r>
        <w:rPr>
          <w:bCs/>
          <w:b/>
        </w:rPr>
        <w:t xml:space="preserve">Reviewer Name:</w:t>
      </w:r>
      <w:r>
        <w:t xml:space="preserve"> </w:t>
      </w:r>
      <w:r>
        <w:t xml:space="preserve">[Insert Reviewer's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Evaluation</dc:title>
  <dc:creator/>
  <dc:language>en</dc:language>
  <cp:keywords/>
  <dcterms:created xsi:type="dcterms:W3CDTF">2026-10-10T08:41:02Z</dcterms:created>
  <dcterms:modified xsi:type="dcterms:W3CDTF">2026-10-10T08:41:02Z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