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Practice</w:t>
      </w:r>
      <w:r>
        <w:t xml:space="preserve"> </w:t>
      </w:r>
      <w:r>
        <w:t xml:space="preserve">in</w:t>
      </w:r>
      <w:r>
        <w:t xml:space="preserve"> </w:t>
      </w:r>
      <w:r>
        <w:t xml:space="preserve">Turkey</w:t>
      </w:r>
      <w:r>
        <w:t xml:space="preserve"> </w:t>
      </w:r>
      <w:r>
        <w:t xml:space="preserve">Ankara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Pharmacist</w:t>
      </w:r>
    </w:p>
    <w:p>
      <w:pPr>
        <w:pStyle w:val="BodyText"/>
      </w:pPr>
      <w:r>
        <w:rPr>
          <w:bCs/>
          <w:b/>
        </w:rPr>
        <w:t xml:space="preserve">Location:</w:t>
      </w:r>
      <w:r>
        <w:t xml:space="preserve"> </w:t>
      </w:r>
      <w:r>
        <w:t xml:space="preserve">Turkey, Ankara</w:t>
      </w:r>
    </w:p>
    <w:p>
      <w:pPr>
        <w:pStyle w:val="BodyText"/>
      </w:pPr>
      <w:r>
        <w:rPr>
          <w:bCs/>
          <w:b/>
        </w:rPr>
        <w:t xml:space="preserve">Date of Review:</w:t>
      </w:r>
      <w:r>
        <w:t xml:space="preserve"> </w:t>
      </w:r>
      <w:r>
        <w:t xml:space="preserve">October 15,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practice, clinical competence, and regulatory compliance of a Pharmacist operating within the metropolitan area of Ankara, Turkey. The review is conducted in accordance with the standards set by the Turkish Pharmacists Association (Türk Eczacıları Birliği) and the Ministry of Health of the Republic of Turkey. The primary objective of this assessment is to ensure that the Pharmacist maintains the highest standards of patient care, medication safety, and ethical conduct expected in the Turkish healthcare system.</w:t>
      </w:r>
    </w:p>
    <w:p>
      <w:pPr>
        <w:pStyle w:val="BodyText"/>
      </w:pPr>
      <w:r>
        <w:t xml:space="preserve">Ankara, as the capital city of Turkey, hosts a diverse and complex healthcare environment. The Pharmacist under review operates in a high-volume community pharmacy setting, serving a multicultural population with varying healthcare needs. This report aims to provide a comprehensive analysis of the Pharmacist's performance, highlighting areas of excellence and identifying opportunities for professional development.</w:t>
      </w:r>
    </w:p>
    <w:bookmarkEnd w:id="21"/>
    <w:bookmarkStart w:id="22" w:name="scope-of-the-review"/>
    <w:p>
      <w:pPr>
        <w:pStyle w:val="Heading2"/>
      </w:pPr>
      <w:r>
        <w:t xml:space="preserve">2. Scope of the Review</w:t>
      </w:r>
    </w:p>
    <w:p>
      <w:pPr>
        <w:pStyle w:val="FirstParagraph"/>
      </w:pPr>
      <w:r>
        <w:t xml:space="preserve">The scope of this Peer Review Report encompasses several critical aspects of the Pharmacist's practice:</w:t>
      </w:r>
    </w:p>
    <w:p>
      <w:pPr>
        <w:numPr>
          <w:ilvl w:val="0"/>
          <w:numId w:val="1001"/>
        </w:numPr>
        <w:pStyle w:val="Compact"/>
      </w:pPr>
      <w:r>
        <w:rPr>
          <w:bCs/>
          <w:b/>
        </w:rPr>
        <w:t xml:space="preserve">Clinical Competence:</w:t>
      </w:r>
      <w:r>
        <w:t xml:space="preserve"> </w:t>
      </w:r>
      <w:r>
        <w:t xml:space="preserve">Evaluation of the Pharmacist's ability to provide accurate medication counseling, manage drug interactions, and support chronic disease management.</w:t>
      </w:r>
    </w:p>
    <w:p>
      <w:pPr>
        <w:numPr>
          <w:ilvl w:val="0"/>
          <w:numId w:val="1001"/>
        </w:numPr>
        <w:pStyle w:val="Compact"/>
      </w:pPr>
      <w:r>
        <w:rPr>
          <w:bCs/>
          <w:b/>
        </w:rPr>
        <w:t xml:space="preserve">Regulatory Compliance:</w:t>
      </w:r>
      <w:r>
        <w:t xml:space="preserve"> </w:t>
      </w:r>
      <w:r>
        <w:t xml:space="preserve">Assessment of adherence to Turkish pharmaceutical laws, including the proper storage, dispensing, and documentation of medications.</w:t>
      </w:r>
    </w:p>
    <w:p>
      <w:pPr>
        <w:numPr>
          <w:ilvl w:val="0"/>
          <w:numId w:val="1001"/>
        </w:numPr>
        <w:pStyle w:val="Compact"/>
      </w:pPr>
      <w:r>
        <w:rPr>
          <w:bCs/>
          <w:b/>
        </w:rPr>
        <w:t xml:space="preserve">Patient Care:</w:t>
      </w:r>
      <w:r>
        <w:t xml:space="preserve"> </w:t>
      </w:r>
      <w:r>
        <w:t xml:space="preserve">Review of the Pharmacist's communication skills, empathy, and ability to address patient concerns effectively.</w:t>
      </w:r>
    </w:p>
    <w:p>
      <w:pPr>
        <w:numPr>
          <w:ilvl w:val="0"/>
          <w:numId w:val="1001"/>
        </w:numPr>
        <w:pStyle w:val="Compact"/>
      </w:pPr>
      <w:r>
        <w:rPr>
          <w:bCs/>
          <w:b/>
        </w:rPr>
        <w:t xml:space="preserve">Professional Ethics:</w:t>
      </w:r>
      <w:r>
        <w:t xml:space="preserve"> </w:t>
      </w:r>
      <w:r>
        <w:t xml:space="preserve">Examination of the Pharmacist's commitment to ethical standards, confidentiality, and professional integrity.</w:t>
      </w:r>
    </w:p>
    <w:p>
      <w:pPr>
        <w:numPr>
          <w:ilvl w:val="0"/>
          <w:numId w:val="1001"/>
        </w:numPr>
        <w:pStyle w:val="Compact"/>
      </w:pPr>
      <w:r>
        <w:rPr>
          <w:bCs/>
          <w:b/>
        </w:rPr>
        <w:t xml:space="preserve">Continuing Education:</w:t>
      </w:r>
      <w:r>
        <w:t xml:space="preserve"> </w:t>
      </w:r>
      <w:r>
        <w:t xml:space="preserve">Verification of the Pharmacist's engagement in ongoing professional development activities.</w:t>
      </w:r>
    </w:p>
    <w:bookmarkEnd w:id="22"/>
    <w:bookmarkStart w:id="23" w:name="methodology"/>
    <w:p>
      <w:pPr>
        <w:pStyle w:val="Heading2"/>
      </w:pPr>
      <w:r>
        <w:t xml:space="preserve">3. Methodology</w:t>
      </w:r>
    </w:p>
    <w:p>
      <w:pPr>
        <w:pStyle w:val="FirstParagraph"/>
      </w:pPr>
      <w:r>
        <w:t xml:space="preserve">The review process involved a combination of direct observation, document analysis, and interviews with both the Pharmacist and selected patients. The following methods were employed:</w:t>
      </w:r>
    </w:p>
    <w:p>
      <w:pPr>
        <w:numPr>
          <w:ilvl w:val="0"/>
          <w:numId w:val="1002"/>
        </w:numPr>
        <w:pStyle w:val="Compact"/>
      </w:pPr>
      <w:r>
        <w:rPr>
          <w:bCs/>
          <w:b/>
        </w:rPr>
        <w:t xml:space="preserve">Direct Observation:</w:t>
      </w:r>
      <w:r>
        <w:t xml:space="preserve"> </w:t>
      </w:r>
      <w:r>
        <w:t xml:space="preserve">The Pharmacist's daily activities were observed over a period of two weeks to assess their workflow, patient interactions, and adherence to standard operating procedures.</w:t>
      </w:r>
    </w:p>
    <w:p>
      <w:pPr>
        <w:numPr>
          <w:ilvl w:val="0"/>
          <w:numId w:val="1002"/>
        </w:numPr>
        <w:pStyle w:val="Compact"/>
      </w:pPr>
      <w:r>
        <w:rPr>
          <w:bCs/>
          <w:b/>
        </w:rPr>
        <w:t xml:space="preserve">Document Analysis:</w:t>
      </w:r>
      <w:r>
        <w:t xml:space="preserve"> </w:t>
      </w:r>
      <w:r>
        <w:t xml:space="preserve">Pharmacy records, including prescription logs, inventory management reports, and patient counseling notes, were reviewed to ensure accuracy and compliance with regulatory requirements.</w:t>
      </w:r>
    </w:p>
    <w:p>
      <w:pPr>
        <w:numPr>
          <w:ilvl w:val="0"/>
          <w:numId w:val="1002"/>
        </w:numPr>
        <w:pStyle w:val="Compact"/>
      </w:pPr>
      <w:r>
        <w:rPr>
          <w:bCs/>
          <w:b/>
        </w:rPr>
        <w:t xml:space="preserve">Patient Interviews:</w:t>
      </w:r>
      <w:r>
        <w:t xml:space="preserve"> </w:t>
      </w:r>
      <w:r>
        <w:t xml:space="preserve">A sample of patients was interviewed to gather feedback on their experiences with the Pharmacist, focusing on aspects such as clarity of information, responsiveness, and overall satisfaction.</w:t>
      </w:r>
    </w:p>
    <w:p>
      <w:pPr>
        <w:numPr>
          <w:ilvl w:val="0"/>
          <w:numId w:val="1002"/>
        </w:numPr>
        <w:pStyle w:val="Compact"/>
      </w:pPr>
      <w:r>
        <w:rPr>
          <w:bCs/>
          <w:b/>
        </w:rPr>
        <w:t xml:space="preserve">Self-Assessment:</w:t>
      </w:r>
      <w:r>
        <w:t xml:space="preserve"> </w:t>
      </w:r>
      <w:r>
        <w:t xml:space="preserve">The Pharmacist was asked to complete a self-assessment questionnaire to reflect on their own practice and identify areas for improvement.</w:t>
      </w:r>
    </w:p>
    <w:bookmarkEnd w:id="23"/>
    <w:bookmarkStart w:id="29" w:name="findings"/>
    <w:p>
      <w:pPr>
        <w:pStyle w:val="Heading2"/>
      </w:pPr>
      <w:r>
        <w:t xml:space="preserve">4. Findings</w:t>
      </w:r>
    </w:p>
    <w:bookmarkStart w:id="24" w:name="clinical-competence"/>
    <w:p>
      <w:pPr>
        <w:pStyle w:val="Heading3"/>
      </w:pPr>
      <w:r>
        <w:t xml:space="preserve">4.1 Clinical Competence</w:t>
      </w:r>
    </w:p>
    <w:p>
      <w:pPr>
        <w:pStyle w:val="FirstParagraph"/>
      </w:pPr>
      <w:r>
        <w:t xml:space="preserve">The Pharmacist demonstrated a strong level of clinical competence throughout the review period. They were able to accurately identify potential drug interactions and provide appropriate recommendations to prescribers. The Pharmacist also exhibited a thorough understanding of chronic disease management protocols, particularly for conditions such as diabetes, hypertension, and asthma, which are prevalent in the Ankara population.</w:t>
      </w:r>
    </w:p>
    <w:p>
      <w:pPr>
        <w:pStyle w:val="BodyText"/>
      </w:pPr>
      <w:r>
        <w:t xml:space="preserve">However, there were instances where the Pharmacist could have provided more detailed counseling on the proper use of inhalers and insulin pens. While the basic instructions were given, additional visual aids or demonstrations could enhance patient understanding and adherence.</w:t>
      </w:r>
    </w:p>
    <w:bookmarkEnd w:id="24"/>
    <w:bookmarkStart w:id="25" w:name="regulatory-compliance"/>
    <w:p>
      <w:pPr>
        <w:pStyle w:val="Heading3"/>
      </w:pPr>
      <w:r>
        <w:t xml:space="preserve">4.2 Regulatory Compliance</w:t>
      </w:r>
    </w:p>
    <w:p>
      <w:pPr>
        <w:pStyle w:val="FirstParagraph"/>
      </w:pPr>
      <w:r>
        <w:t xml:space="preserve">The Pharmacist adhered to all relevant Turkish pharmaceutical regulations, including the proper storage of temperature-sensitive medications and the accurate documentation of controlled substances. The pharmacy's inventory management system was well-maintained, with regular audits conducted to prevent stockouts or expired medications.</w:t>
      </w:r>
    </w:p>
    <w:p>
      <w:pPr>
        <w:pStyle w:val="BodyText"/>
      </w:pPr>
      <w:r>
        <w:t xml:space="preserve">One area for improvement was the timely updating of patient records. While most records were accurate, there were a few instances where information was not updated promptly, which could potentially impact the quality of care.</w:t>
      </w:r>
    </w:p>
    <w:bookmarkEnd w:id="25"/>
    <w:bookmarkStart w:id="26" w:name="patient-care"/>
    <w:p>
      <w:pPr>
        <w:pStyle w:val="Heading3"/>
      </w:pPr>
      <w:r>
        <w:t xml:space="preserve">4.3 Patient Care</w:t>
      </w:r>
    </w:p>
    <w:p>
      <w:pPr>
        <w:pStyle w:val="FirstParagraph"/>
      </w:pPr>
      <w:r>
        <w:t xml:space="preserve">Patient feedback was overwhelmingly positive, with many praising the Pharmacist's friendly demeanor and willingness to listen. The Pharmacist was observed taking the time to address patient concerns and provide clear, understandable information about medications.</w:t>
      </w:r>
    </w:p>
    <w:p>
      <w:pPr>
        <w:pStyle w:val="BodyText"/>
      </w:pPr>
      <w:r>
        <w:t xml:space="preserve">However, during peak hours, the Pharmacist appeared rushed, which occasionally led to shorter counseling sessions. Implementing strategies to manage patient flow more efficiently could help maintain the quality of care during busy periods.</w:t>
      </w:r>
    </w:p>
    <w:bookmarkEnd w:id="26"/>
    <w:bookmarkStart w:id="27" w:name="professional-ethics"/>
    <w:p>
      <w:pPr>
        <w:pStyle w:val="Heading3"/>
      </w:pPr>
      <w:r>
        <w:t xml:space="preserve">4.4 Professional Ethics</w:t>
      </w:r>
    </w:p>
    <w:p>
      <w:pPr>
        <w:pStyle w:val="FirstParagraph"/>
      </w:pPr>
      <w:r>
        <w:t xml:space="preserve">The Pharmacist consistently demonstrated a high level of professional ethics, maintaining patient confidentiality and avoiding any conflicts of interest. They were also proactive in reporting any adverse drug reactions to the relevant authorities, in line with Turkish regulations.</w:t>
      </w:r>
    </w:p>
    <w:bookmarkEnd w:id="27"/>
    <w:bookmarkStart w:id="28" w:name="continuing-education"/>
    <w:p>
      <w:pPr>
        <w:pStyle w:val="Heading3"/>
      </w:pPr>
      <w:r>
        <w:t xml:space="preserve">4.5 Continuing Education</w:t>
      </w:r>
    </w:p>
    <w:p>
      <w:pPr>
        <w:pStyle w:val="FirstParagraph"/>
      </w:pPr>
      <w:r>
        <w:t xml:space="preserve">The Pharmacist has actively participated in continuing education programs, including workshops and seminars organized by the Turkish Pharmacists Association. This commitment to ongoing learning is commendable and contributes to their professional growth.</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enhance the Pharmacist's practice:</w:t>
      </w:r>
    </w:p>
    <w:p>
      <w:pPr>
        <w:numPr>
          <w:ilvl w:val="0"/>
          <w:numId w:val="1003"/>
        </w:numPr>
        <w:pStyle w:val="Compact"/>
      </w:pPr>
      <w:r>
        <w:rPr>
          <w:bCs/>
          <w:b/>
        </w:rPr>
        <w:t xml:space="preserve">Enhance Patient Counseling:</w:t>
      </w:r>
      <w:r>
        <w:t xml:space="preserve"> </w:t>
      </w:r>
      <w:r>
        <w:t xml:space="preserve">Incorporate visual aids and demonstrations into medication counseling, particularly for complex devices such as inhalers and insulin pens.</w:t>
      </w:r>
    </w:p>
    <w:p>
      <w:pPr>
        <w:numPr>
          <w:ilvl w:val="0"/>
          <w:numId w:val="1003"/>
        </w:numPr>
        <w:pStyle w:val="Compact"/>
      </w:pPr>
      <w:r>
        <w:rPr>
          <w:bCs/>
          <w:b/>
        </w:rPr>
        <w:t xml:space="preserve">Improve Record-Keeping:</w:t>
      </w:r>
      <w:r>
        <w:t xml:space="preserve"> </w:t>
      </w:r>
      <w:r>
        <w:t xml:space="preserve">Implement a system to ensure that patient records are updated promptly and accurately.</w:t>
      </w:r>
    </w:p>
    <w:p>
      <w:pPr>
        <w:numPr>
          <w:ilvl w:val="0"/>
          <w:numId w:val="1003"/>
        </w:numPr>
        <w:pStyle w:val="Compact"/>
      </w:pPr>
      <w:r>
        <w:rPr>
          <w:bCs/>
          <w:b/>
        </w:rPr>
        <w:t xml:space="preserve">Optimize Patient Flow:</w:t>
      </w:r>
      <w:r>
        <w:t xml:space="preserve"> </w:t>
      </w:r>
      <w:r>
        <w:t xml:space="preserve">Develop strategies to manage patient flow more efficiently during peak hours, such as scheduling appointments for complex consultations.</w:t>
      </w:r>
    </w:p>
    <w:p>
      <w:pPr>
        <w:numPr>
          <w:ilvl w:val="0"/>
          <w:numId w:val="1003"/>
        </w:numPr>
        <w:pStyle w:val="Compact"/>
      </w:pPr>
      <w:r>
        <w:rPr>
          <w:bCs/>
          <w:b/>
        </w:rPr>
        <w:t xml:space="preserve">Expand Continuing Education:</w:t>
      </w:r>
      <w:r>
        <w:t xml:space="preserve"> </w:t>
      </w:r>
      <w:r>
        <w:t xml:space="preserve">Consider participating in specialized training programs focused on areas such as geriatric care or pediatric pharmacotherapy, which are increasingly relevant in the Ankara healthcare landscape.</w:t>
      </w:r>
    </w:p>
    <w:bookmarkEnd w:id="30"/>
    <w:bookmarkStart w:id="31" w:name="conclusion"/>
    <w:p>
      <w:pPr>
        <w:pStyle w:val="Heading2"/>
      </w:pPr>
      <w:r>
        <w:t xml:space="preserve">6. Conclusion</w:t>
      </w:r>
    </w:p>
    <w:p>
      <w:pPr>
        <w:pStyle w:val="FirstParagraph"/>
      </w:pPr>
      <w:r>
        <w:t xml:space="preserve">This Peer Review Report provides a comprehensive evaluation of the Pharmacist's practice in Ankara, Turkey. Overall, the Pharmacist has demonstrated a high level of competence, professionalism, and commitment to patient care. By addressing the areas for improvement identified in this report, the Pharmacist can further enhance their practice and continue to serve the community effectively.</w:t>
      </w:r>
    </w:p>
    <w:p>
      <w:pPr>
        <w:pStyle w:val="BodyText"/>
      </w:pPr>
      <w:r>
        <w:t xml:space="preserve">The review underscores the importance of ongoing professional development and adherence to regulatory standards in ensuring the highest quality of pharmaceutical care. It is recommended that this Peer Review Report be used as a basis for future performance evaluations and professional growth plans.</w:t>
      </w:r>
    </w:p>
    <w:bookmarkEnd w:id="31"/>
    <w:p>
      <w:pPr>
        <w:pStyle w:val="BodyText"/>
      </w:pPr>
      <w:r>
        <w:rPr>
          <w:bCs/>
          <w:b/>
        </w:rPr>
        <w:t xml:space="preserve">Prepared by:</w:t>
      </w:r>
    </w:p>
    <w:p>
      <w:pPr>
        <w:pStyle w:val="BodyText"/>
      </w:pPr>
      <w:r>
        <w:t xml:space="preserve">Dr. Jane Doe, PharmD</w:t>
      </w:r>
    </w:p>
    <w:p>
      <w:pPr>
        <w:pStyle w:val="BodyText"/>
      </w:pPr>
      <w:r>
        <w:t xml:space="preserve">Senior Peer Reviewer</w:t>
      </w:r>
    </w:p>
    <w:p>
      <w:pPr>
        <w:pStyle w:val="BodyText"/>
      </w:pPr>
      <w:r>
        <w:t xml:space="preserve">Turkish Pharmacists Association</w:t>
      </w:r>
    </w:p>
    <w:p>
      <w:pPr>
        <w:pStyle w:val="BodyText"/>
      </w:pPr>
      <w:r>
        <w:t xml:space="preserve">Ankara, Turkey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Practice in Turkey Ankara</dc:title>
  <dc:creator/>
  <dc:language>en</dc:language>
  <cp:keywords/>
  <dcterms:created xsi:type="dcterms:W3CDTF">2026-10-10T07:00:21Z</dcterms:created>
  <dcterms:modified xsi:type="dcterms:W3CDTF">2026-10-10T07:00:21Z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