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Pharmacist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Pharmacist</w:t>
      </w:r>
      <w:r>
        <w:t xml:space="preserve"> </w:t>
      </w:r>
      <w:r>
        <w:t xml:space="preserve">|</w:t>
      </w:r>
      <w:r>
        <w:t xml:space="preserve"> </w:t>
      </w:r>
      <w:r>
        <w:rPr>
          <w:bCs/>
          <w:b/>
        </w:rPr>
        <w:t xml:space="preserve">United Kingdom Manchester</w:t>
      </w:r>
    </w:p>
    <w:bookmarkEnd w:id="20"/>
    <w:bookmarkStart w:id="21" w:name="introduction"/>
    <w:p>
      <w:pPr>
        <w:pStyle w:val="Heading2"/>
      </w:pPr>
      <w:r>
        <w:t xml:space="preserve">1. Introduction</w:t>
      </w:r>
    </w:p>
    <w:p>
      <w:pPr>
        <w:pStyle w:val="FirstParagraph"/>
      </w:pPr>
      <w:r>
        <w:t xml:space="preserve">This</w:t>
      </w:r>
      <w:r>
        <w:t xml:space="preserve"> </w:t>
      </w:r>
      <w:r>
        <w:rPr>
          <w:bCs/>
          <w:b/>
        </w:rPr>
        <w:t xml:space="preserve">Peer Review Report</w:t>
      </w:r>
      <w:r>
        <w:t xml:space="preserve"> </w:t>
      </w:r>
      <w:r>
        <w:t xml:space="preserve">has been prepared in accordance with the standards set by the General Pharmaceutical Council (GPhC) for the ongoing professional development and quality assurance of a</w:t>
      </w:r>
      <w:r>
        <w:t xml:space="preserve"> </w:t>
      </w:r>
      <w:r>
        <w:rPr>
          <w:bCs/>
          <w:b/>
        </w:rPr>
        <w:t xml:space="preserve">Pharmacist</w:t>
      </w:r>
      <w:r>
        <w:t xml:space="preserve"> </w:t>
      </w:r>
      <w:r>
        <w:t xml:space="preserve">practicing in</w:t>
      </w:r>
      <w:r>
        <w:t xml:space="preserve"> </w:t>
      </w:r>
      <w:r>
        <w:rPr>
          <w:bCs/>
          <w:b/>
        </w:rPr>
        <w:t xml:space="preserve">United Kingdom Manchester</w:t>
      </w:r>
      <w:r>
        <w:t xml:space="preserve">. The purpose of this review is to evaluate the professional competence, clinical practice, and adherence to regulatory requirements of the pharmacist under review. This document serves as a formal record of the peer review process, ensuring that the pharmacist maintains the highest standards of patient care and professional integrity within the local healthcare community in Manchester.</w:t>
      </w:r>
    </w:p>
    <w:bookmarkEnd w:id="21"/>
    <w:bookmarkStart w:id="22" w:name="pharmacist-details"/>
    <w:p>
      <w:pPr>
        <w:pStyle w:val="Heading2"/>
      </w:pPr>
      <w:r>
        <w:t xml:space="preserve">2. Pharmacist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Full Name</w:t>
            </w:r>
          </w:p>
        </w:tc>
        <w:tc>
          <w:tcPr/>
          <w:p>
            <w:pPr>
              <w:pStyle w:val="Compact"/>
              <w:jc w:val="left"/>
            </w:pPr>
            <w:r>
              <w:t xml:space="preserve">[Pharmacist's Full Name]</w:t>
            </w:r>
          </w:p>
        </w:tc>
      </w:tr>
      <w:tr>
        <w:tc>
          <w:tcPr/>
          <w:p>
            <w:pPr>
              <w:pStyle w:val="Compact"/>
              <w:jc w:val="left"/>
            </w:pPr>
            <w:r>
              <w:t xml:space="preserve">GPhC Registration Number</w:t>
            </w:r>
          </w:p>
        </w:tc>
        <w:tc>
          <w:tcPr/>
          <w:p>
            <w:pPr>
              <w:pStyle w:val="Compact"/>
              <w:jc w:val="left"/>
            </w:pPr>
            <w:r>
              <w:t xml:space="preserve">[Registration Number]</w:t>
            </w:r>
          </w:p>
        </w:tc>
      </w:tr>
      <w:tr>
        <w:tc>
          <w:tcPr/>
          <w:p>
            <w:pPr>
              <w:pStyle w:val="Compact"/>
              <w:jc w:val="left"/>
            </w:pPr>
            <w:r>
              <w:t xml:space="preserve">Place of Practice</w:t>
            </w:r>
          </w:p>
        </w:tc>
        <w:tc>
          <w:tcPr/>
          <w:p>
            <w:pPr>
              <w:pStyle w:val="Compact"/>
              <w:jc w:val="left"/>
            </w:pPr>
            <w:r>
              <w:t xml:space="preserve">[Pharmacy Name], Manchester, United Kingdom</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 Name</w:t>
            </w:r>
          </w:p>
        </w:tc>
        <w:tc>
          <w:tcPr/>
          <w:p>
            <w:pPr>
              <w:pStyle w:val="Compact"/>
              <w:jc w:val="left"/>
            </w:pPr>
            <w:r>
              <w:t xml:space="preserve">[Reviewer's Full Name]</w:t>
            </w:r>
          </w:p>
        </w:tc>
      </w:tr>
      <w:tr>
        <w:tc>
          <w:tcPr/>
          <w:p>
            <w:pPr>
              <w:pStyle w:val="Compact"/>
              <w:jc w:val="left"/>
            </w:pPr>
            <w:r>
              <w:t xml:space="preserve">Reviewer Role</w:t>
            </w:r>
          </w:p>
        </w:tc>
        <w:tc>
          <w:tcPr/>
          <w:p>
            <w:pPr>
              <w:pStyle w:val="Compact"/>
              <w:jc w:val="left"/>
            </w:pPr>
            <w:r>
              <w:t xml:space="preserve">Peer Reviewer, GPhC Registered Pharmacist</w:t>
            </w:r>
          </w:p>
        </w:tc>
      </w:tr>
    </w:tbl>
    <w:bookmarkEnd w:id="22"/>
    <w:bookmarkStart w:id="23" w:name="scope-of-the-peer-review"/>
    <w:p>
      <w:pPr>
        <w:pStyle w:val="Heading2"/>
      </w:pPr>
      <w:r>
        <w:t xml:space="preserve">3. Scope of the Peer Review</w:t>
      </w:r>
    </w:p>
    <w:p>
      <w:pPr>
        <w:pStyle w:val="FirstParagraph"/>
      </w:pPr>
      <w:r>
        <w:t xml:space="preserve">The</w:t>
      </w:r>
      <w:r>
        <w:t xml:space="preserve"> </w:t>
      </w:r>
      <w:r>
        <w:rPr>
          <w:bCs/>
          <w:b/>
        </w:rPr>
        <w:t xml:space="preserve">Peer Review Report</w:t>
      </w:r>
      <w:r>
        <w:t xml:space="preserve"> </w:t>
      </w:r>
      <w:r>
        <w:t xml:space="preserve">focuses on the following key areas of the</w:t>
      </w:r>
      <w:r>
        <w:t xml:space="preserve"> </w:t>
      </w:r>
      <w:r>
        <w:rPr>
          <w:bCs/>
          <w:b/>
        </w:rPr>
        <w:t xml:space="preserve">Pharmacist</w:t>
      </w:r>
      <w:r>
        <w:t xml:space="preserve">'s practice in</w:t>
      </w:r>
      <w:r>
        <w:t xml:space="preserve"> </w:t>
      </w:r>
      <w:r>
        <w:rPr>
          <w:bCs/>
          <w:b/>
        </w:rPr>
        <w:t xml:space="preserve">United Kingdom Manchester</w:t>
      </w:r>
      <w:r>
        <w:t xml:space="preserve">:</w:t>
      </w:r>
    </w:p>
    <w:p>
      <w:pPr>
        <w:numPr>
          <w:ilvl w:val="0"/>
          <w:numId w:val="1001"/>
        </w:numPr>
        <w:pStyle w:val="Compact"/>
      </w:pPr>
      <w:r>
        <w:t xml:space="preserve">Clinical competence and patient care</w:t>
      </w:r>
    </w:p>
    <w:p>
      <w:pPr>
        <w:numPr>
          <w:ilvl w:val="0"/>
          <w:numId w:val="1001"/>
        </w:numPr>
        <w:pStyle w:val="Compact"/>
      </w:pPr>
      <w:r>
        <w:t xml:space="preserve">Medication management and safety</w:t>
      </w:r>
    </w:p>
    <w:p>
      <w:pPr>
        <w:numPr>
          <w:ilvl w:val="0"/>
          <w:numId w:val="1001"/>
        </w:numPr>
        <w:pStyle w:val="Compact"/>
      </w:pPr>
      <w:r>
        <w:t xml:space="preserve">Adherence to GPhC standards and local protocols</w:t>
      </w:r>
    </w:p>
    <w:p>
      <w:pPr>
        <w:numPr>
          <w:ilvl w:val="0"/>
          <w:numId w:val="1001"/>
        </w:numPr>
        <w:pStyle w:val="Compact"/>
      </w:pPr>
      <w:r>
        <w:t xml:space="preserve">Professional development and continuing education</w:t>
      </w:r>
    </w:p>
    <w:p>
      <w:pPr>
        <w:numPr>
          <w:ilvl w:val="0"/>
          <w:numId w:val="1001"/>
        </w:numPr>
        <w:pStyle w:val="Compact"/>
      </w:pPr>
      <w:r>
        <w:t xml:space="preserve">Communication and collaboration with healthcare professionals</w:t>
      </w:r>
    </w:p>
    <w:p>
      <w:pPr>
        <w:numPr>
          <w:ilvl w:val="0"/>
          <w:numId w:val="1001"/>
        </w:numPr>
        <w:pStyle w:val="Compact"/>
      </w:pPr>
      <w:r>
        <w:t xml:space="preserve">Leadership and contribution to the pharmacy team</w:t>
      </w:r>
    </w:p>
    <w:bookmarkEnd w:id="23"/>
    <w:bookmarkStart w:id="24" w:name="clinical-competence-and-patient-care"/>
    <w:p>
      <w:pPr>
        <w:pStyle w:val="Heading2"/>
      </w:pPr>
      <w:r>
        <w:t xml:space="preserve">4. Clinical Competence and Patient Care</w:t>
      </w:r>
    </w:p>
    <w:p>
      <w:pPr>
        <w:pStyle w:val="FirstParagraph"/>
      </w:pPr>
      <w:r>
        <w:t xml:space="preserve">The</w:t>
      </w:r>
      <w:r>
        <w:t xml:space="preserve"> </w:t>
      </w:r>
      <w:r>
        <w:rPr>
          <w:bCs/>
          <w:b/>
        </w:rPr>
        <w:t xml:space="preserve">Pharmacist</w:t>
      </w:r>
      <w:r>
        <w:t xml:space="preserve"> </w:t>
      </w:r>
      <w:r>
        <w:t xml:space="preserve">has demonstrated a high level of clinical competence throughout the review period. Their ability to assess patient needs, provide appropriate medication advice, and manage complex cases has been consistently strong. In the context of</w:t>
      </w:r>
      <w:r>
        <w:t xml:space="preserve"> </w:t>
      </w:r>
      <w:r>
        <w:rPr>
          <w:bCs/>
          <w:b/>
        </w:rPr>
        <w:t xml:space="preserve">United Kingdom Manchester</w:t>
      </w:r>
      <w:r>
        <w:t xml:space="preserve">, where diverse patient populations require tailored care, the pharmacist has shown cultural sensitivity and adaptability in their approach.</w:t>
      </w:r>
    </w:p>
    <w:p>
      <w:pPr>
        <w:pStyle w:val="BodyText"/>
      </w:pPr>
      <w:r>
        <w:t xml:space="preserve">Key observations include:</w:t>
      </w:r>
    </w:p>
    <w:p>
      <w:pPr>
        <w:numPr>
          <w:ilvl w:val="0"/>
          <w:numId w:val="1002"/>
        </w:numPr>
        <w:pStyle w:val="Compact"/>
      </w:pPr>
      <w:r>
        <w:t xml:space="preserve">Effective use of clinical guidelines and evidence-based practice.</w:t>
      </w:r>
    </w:p>
    <w:p>
      <w:pPr>
        <w:numPr>
          <w:ilvl w:val="0"/>
          <w:numId w:val="1002"/>
        </w:numPr>
        <w:pStyle w:val="Compact"/>
      </w:pPr>
      <w:r>
        <w:t xml:space="preserve">Proactive identification and management of potential drug interactions.</w:t>
      </w:r>
    </w:p>
    <w:p>
      <w:pPr>
        <w:numPr>
          <w:ilvl w:val="0"/>
          <w:numId w:val="1002"/>
        </w:numPr>
        <w:pStyle w:val="Compact"/>
      </w:pPr>
      <w:r>
        <w:t xml:space="preserve">Strong patient engagement and education, particularly in chronic disease management.</w:t>
      </w:r>
    </w:p>
    <w:bookmarkEnd w:id="24"/>
    <w:bookmarkStart w:id="25" w:name="medication-management-and-safety"/>
    <w:p>
      <w:pPr>
        <w:pStyle w:val="Heading2"/>
      </w:pPr>
      <w:r>
        <w:t xml:space="preserve">5. Medication Management and Safety</w:t>
      </w:r>
    </w:p>
    <w:p>
      <w:pPr>
        <w:pStyle w:val="FirstParagraph"/>
      </w:pPr>
      <w:r>
        <w:t xml:space="preserve">Medication safety is a critical aspect of the</w:t>
      </w:r>
      <w:r>
        <w:t xml:space="preserve"> </w:t>
      </w:r>
      <w:r>
        <w:rPr>
          <w:bCs/>
          <w:b/>
        </w:rPr>
        <w:t xml:space="preserve">Pharmacist</w:t>
      </w:r>
      <w:r>
        <w:t xml:space="preserve">'s role, and this</w:t>
      </w:r>
      <w:r>
        <w:t xml:space="preserve"> </w:t>
      </w:r>
      <w:r>
        <w:rPr>
          <w:bCs/>
          <w:b/>
        </w:rPr>
        <w:t xml:space="preserve">Peer Review Report</w:t>
      </w:r>
      <w:r>
        <w:t xml:space="preserve"> </w:t>
      </w:r>
      <w:r>
        <w:t xml:space="preserve">confirms that the pharmacist adheres to best practices in this area. The review of prescription handling, dispensing accuracy, and incident reporting indicates a robust system of checks and balances.</w:t>
      </w:r>
    </w:p>
    <w:p>
      <w:pPr>
        <w:pStyle w:val="BodyText"/>
      </w:pPr>
      <w:r>
        <w:t xml:space="preserve">In</w:t>
      </w:r>
      <w:r>
        <w:t xml:space="preserve"> </w:t>
      </w:r>
      <w:r>
        <w:rPr>
          <w:bCs/>
          <w:b/>
        </w:rPr>
        <w:t xml:space="preserve">United Kingdom Manchester</w:t>
      </w:r>
      <w:r>
        <w:t xml:space="preserve">, where pharmacies often face high patient volumes, the pharmacist has maintained a focus on minimizing errors and ensuring patient safety. Notable strengths include:</w:t>
      </w:r>
    </w:p>
    <w:p>
      <w:pPr>
        <w:numPr>
          <w:ilvl w:val="0"/>
          <w:numId w:val="1003"/>
        </w:numPr>
        <w:pStyle w:val="Compact"/>
      </w:pPr>
      <w:r>
        <w:t xml:space="preserve">Consistent application of double-check procedures for high-risk medications.</w:t>
      </w:r>
    </w:p>
    <w:p>
      <w:pPr>
        <w:numPr>
          <w:ilvl w:val="0"/>
          <w:numId w:val="1003"/>
        </w:numPr>
        <w:pStyle w:val="Compact"/>
      </w:pPr>
      <w:r>
        <w:t xml:space="preserve">Timely reporting and learning from near-miss incidents.</w:t>
      </w:r>
    </w:p>
    <w:p>
      <w:pPr>
        <w:numPr>
          <w:ilvl w:val="0"/>
          <w:numId w:val="1003"/>
        </w:numPr>
        <w:pStyle w:val="Compact"/>
      </w:pPr>
      <w:r>
        <w:t xml:space="preserve">Effective use of technology to enhance medication management.</w:t>
      </w:r>
    </w:p>
    <w:bookmarkEnd w:id="25"/>
    <w:bookmarkStart w:id="26" w:name="adherence-to-gphc-standards"/>
    <w:p>
      <w:pPr>
        <w:pStyle w:val="Heading2"/>
      </w:pPr>
      <w:r>
        <w:t xml:space="preserve">6. Adherence to GPhC Standards</w:t>
      </w:r>
    </w:p>
    <w:p>
      <w:pPr>
        <w:pStyle w:val="FirstParagraph"/>
      </w:pPr>
      <w:r>
        <w:t xml:space="preserve">The</w:t>
      </w:r>
      <w:r>
        <w:t xml:space="preserve"> </w:t>
      </w:r>
      <w:r>
        <w:rPr>
          <w:bCs/>
          <w:b/>
        </w:rPr>
        <w:t xml:space="preserve">Pharmacist</w:t>
      </w:r>
      <w:r>
        <w:t xml:space="preserve"> </w:t>
      </w:r>
      <w:r>
        <w:t xml:space="preserve">has demonstrated full compliance with the GPhC standards of conduct, performance, and ethics. This</w:t>
      </w:r>
      <w:r>
        <w:t xml:space="preserve"> </w:t>
      </w:r>
      <w:r>
        <w:rPr>
          <w:bCs/>
          <w:b/>
        </w:rPr>
        <w:t xml:space="preserve">Peer Review Report</w:t>
      </w:r>
      <w:r>
        <w:t xml:space="preserve"> </w:t>
      </w:r>
      <w:r>
        <w:t xml:space="preserve">highlights their commitment to maintaining professional integrity and upholding the reputation of the pharmacy profession in</w:t>
      </w:r>
      <w:r>
        <w:t xml:space="preserve"> </w:t>
      </w:r>
      <w:r>
        <w:rPr>
          <w:bCs/>
          <w:b/>
        </w:rPr>
        <w:t xml:space="preserve">United Kingdom Manchester</w:t>
      </w:r>
      <w:r>
        <w:t xml:space="preserve">.</w:t>
      </w:r>
    </w:p>
    <w:p>
      <w:pPr>
        <w:pStyle w:val="BodyText"/>
      </w:pPr>
      <w:r>
        <w:t xml:space="preserve">Key areas of compliance include:</w:t>
      </w:r>
    </w:p>
    <w:p>
      <w:pPr>
        <w:numPr>
          <w:ilvl w:val="0"/>
          <w:numId w:val="1004"/>
        </w:numPr>
        <w:pStyle w:val="Compact"/>
      </w:pPr>
      <w:r>
        <w:t xml:space="preserve">Accurate record-keeping and documentation.</w:t>
      </w:r>
    </w:p>
    <w:p>
      <w:pPr>
        <w:numPr>
          <w:ilvl w:val="0"/>
          <w:numId w:val="1004"/>
        </w:numPr>
        <w:pStyle w:val="Compact"/>
      </w:pPr>
      <w:r>
        <w:t xml:space="preserve">Confidentiality and data protection in line with GDPR requirements.</w:t>
      </w:r>
    </w:p>
    <w:p>
      <w:pPr>
        <w:numPr>
          <w:ilvl w:val="0"/>
          <w:numId w:val="1004"/>
        </w:numPr>
        <w:pStyle w:val="Compact"/>
      </w:pPr>
      <w:r>
        <w:t xml:space="preserve">Transparent communication with patients and colleagues.</w:t>
      </w:r>
    </w:p>
    <w:bookmarkEnd w:id="26"/>
    <w:bookmarkStart w:id="27" w:name="professional-development"/>
    <w:p>
      <w:pPr>
        <w:pStyle w:val="Heading2"/>
      </w:pPr>
      <w:r>
        <w:t xml:space="preserve">7. Professional Development</w:t>
      </w:r>
    </w:p>
    <w:p>
      <w:pPr>
        <w:pStyle w:val="FirstParagraph"/>
      </w:pPr>
      <w:r>
        <w:t xml:space="preserve">Continuous professional development (CPD) is essential for a</w:t>
      </w:r>
      <w:r>
        <w:t xml:space="preserve"> </w:t>
      </w:r>
      <w:r>
        <w:rPr>
          <w:bCs/>
          <w:b/>
        </w:rPr>
        <w:t xml:space="preserve">Pharmacist</w:t>
      </w:r>
      <w:r>
        <w:t xml:space="preserve"> </w:t>
      </w:r>
      <w:r>
        <w:t xml:space="preserve">to remain current in their field. This</w:t>
      </w:r>
      <w:r>
        <w:t xml:space="preserve"> </w:t>
      </w:r>
      <w:r>
        <w:rPr>
          <w:bCs/>
          <w:b/>
        </w:rPr>
        <w:t xml:space="preserve">Peer Review Report</w:t>
      </w:r>
      <w:r>
        <w:t xml:space="preserve"> </w:t>
      </w:r>
      <w:r>
        <w:t xml:space="preserve">confirms that the pharmacist has actively engaged in CPD activities relevant to their practice in</w:t>
      </w:r>
      <w:r>
        <w:t xml:space="preserve"> </w:t>
      </w:r>
      <w:r>
        <w:rPr>
          <w:bCs/>
          <w:b/>
        </w:rPr>
        <w:t xml:space="preserve">United Kingdom Manchester</w:t>
      </w:r>
      <w:r>
        <w:t xml:space="preserve">.</w:t>
      </w:r>
    </w:p>
    <w:p>
      <w:pPr>
        <w:pStyle w:val="BodyText"/>
      </w:pPr>
      <w:r>
        <w:t xml:space="preserve">Examples of professional development include:</w:t>
      </w:r>
    </w:p>
    <w:p>
      <w:pPr>
        <w:numPr>
          <w:ilvl w:val="0"/>
          <w:numId w:val="1005"/>
        </w:numPr>
        <w:pStyle w:val="Compact"/>
      </w:pPr>
      <w:r>
        <w:t xml:space="preserve">Attendance at local and national pharmacy conferences.</w:t>
      </w:r>
    </w:p>
    <w:p>
      <w:pPr>
        <w:numPr>
          <w:ilvl w:val="0"/>
          <w:numId w:val="1005"/>
        </w:numPr>
        <w:pStyle w:val="Compact"/>
      </w:pPr>
      <w:r>
        <w:t xml:space="preserve">Completion of accredited CPD modules on emerging therapies and regulations.</w:t>
      </w:r>
    </w:p>
    <w:p>
      <w:pPr>
        <w:numPr>
          <w:ilvl w:val="0"/>
          <w:numId w:val="1005"/>
        </w:numPr>
        <w:pStyle w:val="Compact"/>
      </w:pPr>
      <w:r>
        <w:t xml:space="preserve">Participation in peer learning groups and mentorship programs.</w:t>
      </w:r>
    </w:p>
    <w:bookmarkEnd w:id="27"/>
    <w:bookmarkStart w:id="28" w:name="communication-and-collaboration"/>
    <w:p>
      <w:pPr>
        <w:pStyle w:val="Heading2"/>
      </w:pPr>
      <w:r>
        <w:t xml:space="preserve">8. Communication and Collaboration</w:t>
      </w:r>
    </w:p>
    <w:p>
      <w:pPr>
        <w:pStyle w:val="FirstParagraph"/>
      </w:pPr>
      <w:r>
        <w:t xml:space="preserve">Effective communication is vital for a</w:t>
      </w:r>
      <w:r>
        <w:t xml:space="preserve"> </w:t>
      </w:r>
      <w:r>
        <w:rPr>
          <w:bCs/>
          <w:b/>
        </w:rPr>
        <w:t xml:space="preserve">Pharmacist</w:t>
      </w:r>
      <w:r>
        <w:t xml:space="preserve"> </w:t>
      </w:r>
      <w:r>
        <w:t xml:space="preserve">working in</w:t>
      </w:r>
      <w:r>
        <w:t xml:space="preserve"> </w:t>
      </w:r>
      <w:r>
        <w:rPr>
          <w:bCs/>
          <w:b/>
        </w:rPr>
        <w:t xml:space="preserve">United Kingdom Manchester</w:t>
      </w:r>
      <w:r>
        <w:t xml:space="preserve">, where collaboration with GPs, nurses, and other healthcare professionals is common. This</w:t>
      </w:r>
      <w:r>
        <w:t xml:space="preserve"> </w:t>
      </w:r>
      <w:r>
        <w:rPr>
          <w:bCs/>
          <w:b/>
        </w:rPr>
        <w:t xml:space="preserve">Peer Review Report</w:t>
      </w:r>
      <w:r>
        <w:t xml:space="preserve"> </w:t>
      </w:r>
      <w:r>
        <w:t xml:space="preserve">notes the pharmacist's ability to communicate clearly and professionally, both with patients and colleagues.</w:t>
      </w:r>
    </w:p>
    <w:p>
      <w:pPr>
        <w:pStyle w:val="BodyText"/>
      </w:pPr>
      <w:r>
        <w:t xml:space="preserve">Strengths in this area include:</w:t>
      </w:r>
    </w:p>
    <w:p>
      <w:pPr>
        <w:numPr>
          <w:ilvl w:val="0"/>
          <w:numId w:val="1006"/>
        </w:numPr>
        <w:pStyle w:val="Compact"/>
      </w:pPr>
      <w:r>
        <w:t xml:space="preserve">Constructive engagement in multidisciplinary team meetings.</w:t>
      </w:r>
    </w:p>
    <w:p>
      <w:pPr>
        <w:numPr>
          <w:ilvl w:val="0"/>
          <w:numId w:val="1006"/>
        </w:numPr>
        <w:pStyle w:val="Compact"/>
      </w:pPr>
      <w:r>
        <w:t xml:space="preserve">Clear and concise communication of medication-related information.</w:t>
      </w:r>
    </w:p>
    <w:p>
      <w:pPr>
        <w:numPr>
          <w:ilvl w:val="0"/>
          <w:numId w:val="1006"/>
        </w:numPr>
        <w:pStyle w:val="Compact"/>
      </w:pPr>
      <w:r>
        <w:t xml:space="preserve">Positive feedback from colleagues and patients regarding interpersonal skills.</w:t>
      </w:r>
    </w:p>
    <w:bookmarkEnd w:id="28"/>
    <w:bookmarkStart w:id="29" w:name="areas-for-improvement"/>
    <w:p>
      <w:pPr>
        <w:pStyle w:val="Heading2"/>
      </w:pPr>
      <w:r>
        <w:t xml:space="preserve">9. Areas for Improvement</w:t>
      </w:r>
    </w:p>
    <w:p>
      <w:pPr>
        <w:pStyle w:val="FirstParagraph"/>
      </w:pPr>
      <w:r>
        <w:t xml:space="preserve">While the</w:t>
      </w:r>
      <w:r>
        <w:t xml:space="preserve"> </w:t>
      </w:r>
      <w:r>
        <w:rPr>
          <w:bCs/>
          <w:b/>
        </w:rPr>
        <w:t xml:space="preserve">Pharmacist</w:t>
      </w:r>
      <w:r>
        <w:t xml:space="preserve"> </w:t>
      </w:r>
      <w:r>
        <w:t xml:space="preserve">has performed well overall, this</w:t>
      </w:r>
      <w:r>
        <w:t xml:space="preserve"> </w:t>
      </w:r>
      <w:r>
        <w:rPr>
          <w:bCs/>
          <w:b/>
        </w:rPr>
        <w:t xml:space="preserve">Peer Review Report</w:t>
      </w:r>
      <w:r>
        <w:t xml:space="preserve"> </w:t>
      </w:r>
      <w:r>
        <w:t xml:space="preserve">identifies a few areas for further development:</w:t>
      </w:r>
    </w:p>
    <w:p>
      <w:pPr>
        <w:numPr>
          <w:ilvl w:val="0"/>
          <w:numId w:val="1007"/>
        </w:numPr>
        <w:pStyle w:val="Compact"/>
      </w:pPr>
      <w:r>
        <w:t xml:space="preserve">Enhancing knowledge of digital health tools and telepharmacy services.</w:t>
      </w:r>
    </w:p>
    <w:p>
      <w:pPr>
        <w:numPr>
          <w:ilvl w:val="0"/>
          <w:numId w:val="1007"/>
        </w:numPr>
        <w:pStyle w:val="Compact"/>
      </w:pPr>
      <w:r>
        <w:t xml:space="preserve">Increasing involvement in community health initiatives in</w:t>
      </w:r>
      <w:r>
        <w:t xml:space="preserve"> </w:t>
      </w:r>
      <w:r>
        <w:rPr>
          <w:bCs/>
          <w:b/>
        </w:rPr>
        <w:t xml:space="preserve">United Kingdom Manchester</w:t>
      </w:r>
      <w:r>
        <w:t xml:space="preserve">.</w:t>
      </w:r>
    </w:p>
    <w:p>
      <w:pPr>
        <w:numPr>
          <w:ilvl w:val="0"/>
          <w:numId w:val="1007"/>
        </w:numPr>
        <w:pStyle w:val="Compact"/>
      </w:pPr>
      <w:r>
        <w:t xml:space="preserve">Exploring opportunities for advanced clinical training or specialization.</w:t>
      </w:r>
    </w:p>
    <w:bookmarkEnd w:id="29"/>
    <w:bookmarkStart w:id="30" w:name="conclusion"/>
    <w:p>
      <w:pPr>
        <w:pStyle w:val="Heading2"/>
      </w:pPr>
      <w:r>
        <w:t xml:space="preserve">10.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Pharmacist</w:t>
      </w:r>
      <w:r>
        <w:t xml:space="preserve"> </w:t>
      </w:r>
      <w:r>
        <w:t xml:space="preserve">is meeting the required standards of practice in</w:t>
      </w:r>
      <w:r>
        <w:t xml:space="preserve"> </w:t>
      </w:r>
      <w:r>
        <w:rPr>
          <w:bCs/>
          <w:b/>
        </w:rPr>
        <w:t xml:space="preserve">United Kingdom Manchester</w:t>
      </w:r>
      <w:r>
        <w:t xml:space="preserve">. Their dedication to patient care, adherence to regulatory requirements, and commitment to professional growth are commendable. The identified areas for improvement provide a clear pathway for continued development, ensuring that the pharmacist remains a valuable asset to the healthcare community.</w:t>
      </w:r>
    </w:p>
    <w:bookmarkEnd w:id="30"/>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[Date]</w:t>
      </w:r>
    </w:p>
    <w:p>
      <w:pPr>
        <w:pStyle w:val="BodyText"/>
      </w:pPr>
      <w:r>
        <w:rPr>
          <w:bCs/>
          <w:b/>
        </w:rPr>
        <w:t xml:space="preserve">Pharmacist Signature:</w:t>
      </w:r>
      <w:r>
        <w:t xml:space="preserve"> </w:t>
      </w:r>
      <w:r>
        <w:t xml:space="preserve">_________________________</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Pharmacist - United Kingdom Manchester</dc:title>
  <dc:creator/>
  <dc:language>en</dc:language>
  <cp:keywords/>
  <dcterms:created xsi:type="dcterms:W3CDTF">2026-10-10T08:55:36Z</dcterms:created>
  <dcterms:modified xsi:type="dcterms:W3CDTF">2026-10-10T08:55:36Z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