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Pharmacist</w:t>
      </w:r>
    </w:p>
    <w:p>
      <w:pPr>
        <w:pStyle w:val="BodyText"/>
      </w:pPr>
      <w:r>
        <w:rPr>
          <w:bCs/>
          <w:b/>
        </w:rPr>
        <w:t xml:space="preserve">Location:</w:t>
      </w:r>
      <w:r>
        <w:t xml:space="preserve"> </w:t>
      </w:r>
      <w:r>
        <w:t xml:space="preserve">United States Miami, Florida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Florida Board of Pharmacy and relevant federal regulations governing pharmaceutical practice within the United States. The primary objective of this document is to evaluate the professional competence, ethical conduct, and clinical performance of a licensed Pharmacist operating within the Miami metropolitan area.</w:t>
      </w:r>
    </w:p>
    <w:p>
      <w:pPr>
        <w:pStyle w:val="BodyText"/>
      </w:pPr>
      <w:r>
        <w:t xml:space="preserve">Given the unique demographic and regulatory environment of Miami, Florida, this review places specific emphasis on the pharmacist's ability to navigate complex patient populations, including a significant Spanish-speaking demographic, and to adhere to strict state and federal drug control laws. The review aims to ensure that the pharmacist maintains the highest standards of patient safety, medication therapy management, and professional integrity.</w:t>
      </w:r>
    </w:p>
    <w:bookmarkEnd w:id="21"/>
    <w:bookmarkStart w:id="22" w:name="pharmacist-profile-and-scope-of-practice"/>
    <w:p>
      <w:pPr>
        <w:pStyle w:val="Heading2"/>
      </w:pPr>
      <w:r>
        <w:t xml:space="preserve">2. Pharmacist Profile and Scope of Practice</w:t>
      </w:r>
    </w:p>
    <w:p>
      <w:pPr>
        <w:pStyle w:val="FirstParagraph"/>
      </w:pPr>
      <w:r>
        <w:t xml:space="preserve">The subject of this review is a licensed Pharmacist practicing in a community pharmacy setting in Miami-Dade County. The evaluation covers a six-month period of practice. The pharmacist's scope of practice includes prescription dispensing, immunization administration, medication therapy management (MTM), and patient counseling.</w:t>
      </w:r>
    </w:p>
    <w:p>
      <w:pPr>
        <w:pStyle w:val="BodyText"/>
      </w:pPr>
      <w:r>
        <w:t xml:space="preserve">In the context of Miami, the pharmacist is expected to demonstrate cultural competence and bilingual proficiency. This report assesses whether the pharmacist effectively communicates with patients from diverse backgrounds, ensuring that language barriers do not compromise patient understanding or medication adherence.</w:t>
      </w:r>
    </w:p>
    <w:bookmarkEnd w:id="22"/>
    <w:bookmarkStart w:id="23" w:name="X11ff2d9097d992ba5093f1ad940bca5e1f0f340"/>
    <w:p>
      <w:pPr>
        <w:pStyle w:val="Heading2"/>
      </w:pPr>
      <w:r>
        <w:t xml:space="preserve">3. Clinical Competence and Medication Safety</w:t>
      </w:r>
    </w:p>
    <w:p>
      <w:pPr>
        <w:pStyle w:val="FirstParagraph"/>
      </w:pPr>
      <w:r>
        <w:t xml:space="preserve">A critical component of this Peer Review Report is the assessment of clinical accuracy. The pharmacist was evaluated on their ability to detect and prevent drug interactions, allergies, and dosage errors. During the review period, the pharmacist demonstrated a high level of vigilance in identifying potential therapeutic duplications and adverse drug events.</w:t>
      </w:r>
    </w:p>
    <w:p>
      <w:pPr>
        <w:pStyle w:val="BodyText"/>
      </w:pPr>
      <w:r>
        <w:t xml:space="preserve">Specific attention was given to the handling of controlled substances, a key concern in the United States regulatory framework. The pharmacist adhered strictly to the requirements of the Controlled Substances Act and Florida Statutes Chapter 499. Inventory checks were conducted regularly, and all discrepancies were documented and reported in a timely manner. No instances of diversion or improper storage of controlled medications were observed.</w:t>
      </w:r>
    </w:p>
    <w:p>
      <w:pPr>
        <w:pStyle w:val="BodyText"/>
      </w:pPr>
      <w:r>
        <w:t xml:space="preserve">Furthermore, the pharmacist's participation in clinical programs, such as flu vaccination clinics and diabetes management workshops, was reviewed. These initiatives are particularly relevant in Miami, where public health outreach is essential. The pharmacist exhibited proficiency in administering vaccines and providing evidence-based counseling to patients.</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paramount in pharmaceutical care. This report evaluates the pharmacist's interactions with patients, focusing on clarity, empathy, and cultural sensitivity. In Miami, a city known for its multicultural population, the ability to counsel patients in both English and Spanish is a significant asset.</w:t>
      </w:r>
    </w:p>
    <w:p>
      <w:pPr>
        <w:pStyle w:val="BodyText"/>
      </w:pPr>
      <w:r>
        <w:t xml:space="preserve">The pharmacist was observed conducting counseling sessions with patients regarding new prescriptions. The pharmacist successfully explained medication indications, dosing schedules, potential side effects, and storage requirements. Feedback from patients indicated a high level of satisfaction with the pharmacist's approachability and willingness to answer questions.</w:t>
      </w:r>
    </w:p>
    <w:p>
      <w:pPr>
        <w:pStyle w:val="BodyText"/>
      </w:pPr>
      <w:r>
        <w:t xml:space="preserve">Additionally, the pharmacist demonstrated strong collaboration with physicians and other healthcare providers. This interdisciplinary communication is vital for optimizing patient outcomes, especially in complex cases involving chronic diseases prevalent in the Miami area, such as hypertension and diabetes.</w:t>
      </w:r>
    </w:p>
    <w:bookmarkEnd w:id="24"/>
    <w:bookmarkStart w:id="25" w:name="Xfd6c0bd97f3326077207f184e0151b9cadf8202"/>
    <w:p>
      <w:pPr>
        <w:pStyle w:val="Heading2"/>
      </w:pPr>
      <w:r>
        <w:t xml:space="preserve">5. Regulatory Compliance and Ethical Standards</w:t>
      </w:r>
    </w:p>
    <w:p>
      <w:pPr>
        <w:pStyle w:val="FirstParagraph"/>
      </w:pPr>
      <w:r>
        <w:t xml:space="preserve">Compliance with legal and ethical standards is non-negotiable for any Pharmacist in the United States. This Peer Review Report confirms that the pharmacist has maintained full compliance with all applicable laws, including HIPAA regulations regarding patient privacy.</w:t>
      </w:r>
    </w:p>
    <w:p>
      <w:pPr>
        <w:pStyle w:val="BodyText"/>
      </w:pPr>
      <w:r>
        <w:t xml:space="preserve">The pharmacist's record of continuing education (CE) was reviewed to ensure it meets the requirements set by the Florida Board of Pharmacy. The pharmacist has completed all mandatory CE hours, including courses on pharmacy law, ethics, and infectious diseases. This commitment to lifelong learning is essential for maintaining competence in a rapidly evolving healthcare landscape.</w:t>
      </w:r>
    </w:p>
    <w:p>
      <w:pPr>
        <w:pStyle w:val="BodyText"/>
      </w:pPr>
      <w:r>
        <w:t xml:space="preserve">Ethical conduct was also assessed. The pharmacist was found to uphold the principles of the Code of Ethics for Pharmacists, demonstrating integrity, honesty, and respect for patients and colleagues. There were no reports of unethical behavior or professional misconduct during the review period.</w:t>
      </w:r>
    </w:p>
    <w:bookmarkEnd w:id="25"/>
    <w:bookmarkStart w:id="26" w:name="areas-for-improvement"/>
    <w:p>
      <w:pPr>
        <w:pStyle w:val="Heading2"/>
      </w:pPr>
      <w:r>
        <w:t xml:space="preserve">6. Areas for Improvement</w:t>
      </w:r>
    </w:p>
    <w:p>
      <w:pPr>
        <w:pStyle w:val="FirstParagraph"/>
      </w:pPr>
      <w:r>
        <w:t xml:space="preserve">While the pharmacist's performance is commendable, this report identifies a few areas for potential improvement. First, there is an opportunity to enhance the use of technology in medication therapy management. Implementing advanced clinical decision support tools could further reduce the risk of errors and improve patient outcomes.</w:t>
      </w:r>
    </w:p>
    <w:p>
      <w:pPr>
        <w:pStyle w:val="BodyText"/>
      </w:pPr>
      <w:r>
        <w:t xml:space="preserve">Second, given the dynamic nature of healthcare in Miami, the pharmacist could benefit from additional training in managing opioid use disorder. This would align with current public health initiatives in Florida aimed at addressing the opioid crisis.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Pharmacist under review is performing at a level that meets or exceeds the professional standards expected in the United States Miami region. The pharmacist demonstrates strong clinical skills, regulatory compliance, and a commitment to patient-centered care.</w:t>
      </w:r>
    </w:p>
    <w:p>
      <w:pPr>
        <w:pStyle w:val="BodyText"/>
      </w:pPr>
      <w:r>
        <w:t xml:space="preserve">It is recommended that the pharmacist continue to engage in ongoing professional development and maintain the high standards of practice observed during this review. Regular peer reviews should be conducted to ensure sustained excellence in pharmaceutical care.</w:t>
      </w:r>
    </w:p>
    <w:bookmarkEnd w:id="27"/>
    <w:p>
      <w:pPr>
        <w:pStyle w:val="BodyText"/>
      </w:pPr>
      <w:r>
        <w:rPr>
          <w:bCs/>
          <w:b/>
        </w:rPr>
        <w:t xml:space="preserve">Reviewed By:</w:t>
      </w:r>
    </w:p>
    <w:p>
      <w:pPr>
        <w:pStyle w:val="BodyText"/>
      </w:pPr>
      <w:r>
        <w:t xml:space="preserve">Dr. Jane Doe, Pharm.D., BCPS</w:t>
      </w:r>
    </w:p>
    <w:p>
      <w:pPr>
        <w:pStyle w:val="BodyText"/>
      </w:pPr>
      <w:r>
        <w:t xml:space="preserve">Senior Clinical Pharmacist</w:t>
      </w:r>
    </w:p>
    <w:p>
      <w:pPr>
        <w:pStyle w:val="BodyText"/>
      </w:pPr>
      <w:r>
        <w:t xml:space="preserve">Miami Pharmacy Peer Review Board</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Evaluation</dc:title>
  <dc:creator/>
  <dc:language>en</dc:language>
  <cp:keywords/>
  <dcterms:created xsi:type="dcterms:W3CDTF">2026-10-10T08:13:06Z</dcterms:created>
  <dcterms:modified xsi:type="dcterms:W3CDTF">2026-10-10T08:13:06Z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