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Pharmacist</w:t>
      </w:r>
    </w:p>
    <w:p>
      <w:pPr>
        <w:pStyle w:val="BodyText"/>
      </w:pPr>
      <w:r>
        <w:rPr>
          <w:bCs/>
          <w:b/>
        </w:rPr>
        <w:t xml:space="preserve">Location:</w:t>
      </w:r>
      <w:r>
        <w:t xml:space="preserve"> </w:t>
      </w:r>
      <w:r>
        <w:t xml:space="preserve">Tashkent, Uzbekistan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Tashkent Regional Pharmacy Quality Assurance Committee</w:t>
      </w:r>
    </w:p>
    <w:bookmarkEnd w:id="20"/>
    <w:bookmarkStart w:id="21" w:name="introduction-and-scope"/>
    <w:p>
      <w:pPr>
        <w:pStyle w:val="Heading2"/>
      </w:pPr>
      <w:r>
        <w:t xml:space="preserve">1. Introduction and Scope</w:t>
      </w:r>
    </w:p>
    <w:p>
      <w:pPr>
        <w:pStyle w:val="FirstParagraph"/>
      </w:pPr>
      <w:r>
        <w:t xml:space="preserve">This Peer Review Report has been prepared in accordance with the regulatory standards established by the Ministry of Health of the Republic of Uzbekistan. The primary objective of this review is to evaluate the professional competence, clinical knowledge, and operational practices of a licensed Pharmacist operating within the Tashkent region. As the capital city of Uzbekistan, Tashkent serves as the hub for pharmaceutical distribution and clinical pharmacy services in the country. Consequently, maintaining the highest standards of pharmaceutical care is critical for public health safety.</w:t>
      </w:r>
    </w:p>
    <w:p>
      <w:pPr>
        <w:pStyle w:val="BodyText"/>
      </w:pPr>
      <w:r>
        <w:t xml:space="preserve">The review focuses on the Pharmacist's ability to manage medication therapy, ensure regulatory compliance with Uzbekistan's pharmaceutical laws, and provide patient-centered care. This document serves as an official record of the Pharmacist's performance and identifies areas for professional development.</w:t>
      </w:r>
    </w:p>
    <w:bookmarkEnd w:id="21"/>
    <w:bookmarkStart w:id="22" w:name="pharmacist-profile-and-context"/>
    <w:p>
      <w:pPr>
        <w:pStyle w:val="Heading2"/>
      </w:pPr>
      <w:r>
        <w:t xml:space="preserve">2. Pharmacist Profile and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w:t>
            </w:r>
          </w:p>
        </w:tc>
        <w:tc>
          <w:tcPr/>
          <w:p>
            <w:pPr>
              <w:pStyle w:val="Compact"/>
              <w:jc w:val="left"/>
            </w:pPr>
            <w:r>
              <w:t xml:space="preserve">Details</w:t>
            </w:r>
          </w:p>
        </w:tc>
      </w:tr>
      <w:tr>
        <w:tc>
          <w:tcPr/>
          <w:p>
            <w:pPr>
              <w:pStyle w:val="Compact"/>
              <w:jc w:val="left"/>
            </w:pPr>
            <w:r>
              <w:t xml:space="preserve">Professional Title</w:t>
            </w:r>
          </w:p>
        </w:tc>
        <w:tc>
          <w:tcPr/>
          <w:p>
            <w:pPr>
              <w:pStyle w:val="Compact"/>
              <w:jc w:val="left"/>
            </w:pPr>
            <w:r>
              <w:t xml:space="preserve">Pharmacist (Licensed)</w:t>
            </w:r>
          </w:p>
        </w:tc>
      </w:tr>
      <w:tr>
        <w:tc>
          <w:tcPr/>
          <w:p>
            <w:pPr>
              <w:pStyle w:val="Compact"/>
              <w:jc w:val="left"/>
            </w:pPr>
            <w:r>
              <w:t xml:space="preserve">Place of Practice</w:t>
            </w:r>
          </w:p>
        </w:tc>
        <w:tc>
          <w:tcPr/>
          <w:p>
            <w:pPr>
              <w:pStyle w:val="Compact"/>
              <w:jc w:val="left"/>
            </w:pPr>
            <w:r>
              <w:t xml:space="preserve">Central Pharmacy District, Tashkent, Uzbekistan</w:t>
            </w:r>
          </w:p>
        </w:tc>
      </w:tr>
      <w:tr>
        <w:tc>
          <w:tcPr/>
          <w:p>
            <w:pPr>
              <w:pStyle w:val="Compact"/>
              <w:jc w:val="left"/>
            </w:pPr>
            <w:r>
              <w:t xml:space="preserve">Years of Experience</w:t>
            </w:r>
          </w:p>
        </w:tc>
        <w:tc>
          <w:tcPr/>
          <w:p>
            <w:pPr>
              <w:pStyle w:val="Compact"/>
              <w:jc w:val="left"/>
            </w:pPr>
            <w:r>
              <w:t xml:space="preserve">5 Years</w:t>
            </w:r>
          </w:p>
        </w:tc>
      </w:tr>
      <w:tr>
        <w:tc>
          <w:tcPr/>
          <w:p>
            <w:pPr>
              <w:pStyle w:val="Compact"/>
              <w:jc w:val="left"/>
            </w:pPr>
            <w:r>
              <w:t xml:space="preserve">License Status</w:t>
            </w:r>
          </w:p>
        </w:tc>
        <w:tc>
          <w:tcPr/>
          <w:p>
            <w:pPr>
              <w:pStyle w:val="Compact"/>
              <w:jc w:val="left"/>
            </w:pPr>
            <w:r>
              <w:t xml:space="preserve">Active and Valid</w:t>
            </w:r>
          </w:p>
        </w:tc>
      </w:tr>
      <w:tr>
        <w:tc>
          <w:tcPr/>
          <w:p>
            <w:pPr>
              <w:pStyle w:val="Compact"/>
              <w:jc w:val="left"/>
            </w:pPr>
            <w:r>
              <w:t xml:space="preserve">Scope of Practice</w:t>
            </w:r>
          </w:p>
        </w:tc>
        <w:tc>
          <w:tcPr/>
          <w:p>
            <w:pPr>
              <w:pStyle w:val="Compact"/>
              <w:jc w:val="left"/>
            </w:pPr>
            <w:r>
              <w:t xml:space="preserve">Community Dispensing, Clinical Consultation, Inventory Management</w:t>
            </w:r>
          </w:p>
        </w:tc>
      </w:tr>
    </w:tbl>
    <w:bookmarkEnd w:id="22"/>
    <w:bookmarkStart w:id="23" w:name="evaluation-criteria-and-methodology"/>
    <w:p>
      <w:pPr>
        <w:pStyle w:val="Heading2"/>
      </w:pPr>
      <w:r>
        <w:t xml:space="preserve">3. Evaluation Criteria and Methodology</w:t>
      </w:r>
    </w:p>
    <w:p>
      <w:pPr>
        <w:pStyle w:val="FirstParagraph"/>
      </w:pPr>
      <w:r>
        <w:t xml:space="preserve">The Peer Review Report was conducted using a comprehensive methodology that includes direct observation, record audits, and clinical case simulations. The evaluation criteria are aligned with the national standards for pharmacy practice in Uzbekistan. The review assesses the Pharmacist across four key domains:</w:t>
      </w:r>
    </w:p>
    <w:p>
      <w:pPr>
        <w:numPr>
          <w:ilvl w:val="0"/>
          <w:numId w:val="1001"/>
        </w:numPr>
        <w:pStyle w:val="Compact"/>
      </w:pPr>
      <w:r>
        <w:rPr>
          <w:bCs/>
          <w:b/>
        </w:rPr>
        <w:t xml:space="preserve">Clinical Knowledge:</w:t>
      </w:r>
      <w:r>
        <w:t xml:space="preserve"> </w:t>
      </w:r>
      <w:r>
        <w:t xml:space="preserve">Understanding of pharmacology, therapeutics, and drug interactions.</w:t>
      </w:r>
    </w:p>
    <w:p>
      <w:pPr>
        <w:numPr>
          <w:ilvl w:val="0"/>
          <w:numId w:val="1001"/>
        </w:numPr>
        <w:pStyle w:val="Compact"/>
      </w:pPr>
      <w:r>
        <w:rPr>
          <w:bCs/>
          <w:b/>
        </w:rPr>
        <w:t xml:space="preserve">Regulatory Compliance:</w:t>
      </w:r>
      <w:r>
        <w:t xml:space="preserve"> </w:t>
      </w:r>
      <w:r>
        <w:t xml:space="preserve">Adherence to the laws of Uzbekistan regarding prescription handling and controlled substances.</w:t>
      </w:r>
    </w:p>
    <w:p>
      <w:pPr>
        <w:numPr>
          <w:ilvl w:val="0"/>
          <w:numId w:val="1001"/>
        </w:numPr>
        <w:pStyle w:val="Compact"/>
      </w:pPr>
      <w:r>
        <w:rPr>
          <w:bCs/>
          <w:b/>
        </w:rPr>
        <w:t xml:space="preserve">Patient Care:</w:t>
      </w:r>
      <w:r>
        <w:t xml:space="preserve"> </w:t>
      </w:r>
      <w:r>
        <w:t xml:space="preserve">Communication skills and ability to provide counseling in the local context.</w:t>
      </w:r>
    </w:p>
    <w:p>
      <w:pPr>
        <w:numPr>
          <w:ilvl w:val="0"/>
          <w:numId w:val="1001"/>
        </w:numPr>
        <w:pStyle w:val="Compact"/>
      </w:pPr>
      <w:r>
        <w:rPr>
          <w:bCs/>
          <w:b/>
        </w:rPr>
        <w:t xml:space="preserve">Operational Excellence:</w:t>
      </w:r>
      <w:r>
        <w:t xml:space="preserve"> </w:t>
      </w:r>
      <w:r>
        <w:t xml:space="preserve">Management of pharmaceutical inventory and storage conditions.</w:t>
      </w:r>
    </w:p>
    <w:bookmarkEnd w:id="23"/>
    <w:bookmarkStart w:id="28" w:name="detailed-findings"/>
    <w:p>
      <w:pPr>
        <w:pStyle w:val="Heading2"/>
      </w:pPr>
      <w:r>
        <w:t xml:space="preserve">4. Detailed Findings</w:t>
      </w:r>
    </w:p>
    <w:bookmarkStart w:id="24" w:name="X24f4f61684ab65178a9ce5326c582c06ae2f4ec"/>
    <w:p>
      <w:pPr>
        <w:pStyle w:val="Heading3"/>
      </w:pPr>
      <w:r>
        <w:t xml:space="preserve">4.1 Clinical Competency and Medication Safety</w:t>
      </w:r>
    </w:p>
    <w:p>
      <w:pPr>
        <w:pStyle w:val="FirstParagraph"/>
      </w:pPr>
      <w:r>
        <w:t xml:space="preserve">The Pharmacist demonstrated a strong command of clinical pharmacology. During the review, the Pharmacist accurately identified potential drug-drug interactions in complex patient profiles common in Tashkent's urban healthcare setting. The ability to interpret prescriptions from local physicians was excellent, ensuring that dosage forms and strengths were appropriate for the patient's condition. The Pharmacist showed particular diligence in reviewing antibiotics, a critical area for antimicrobial stewardship in Uzbekistan.</w:t>
      </w:r>
    </w:p>
    <w:bookmarkEnd w:id="24"/>
    <w:bookmarkStart w:id="25" w:name="regulatory-compliance-in-uzbekistan"/>
    <w:p>
      <w:pPr>
        <w:pStyle w:val="Heading3"/>
      </w:pPr>
      <w:r>
        <w:t xml:space="preserve">4.2 Regulatory Compliance in Uzbekistan</w:t>
      </w:r>
    </w:p>
    <w:p>
      <w:pPr>
        <w:pStyle w:val="FirstParagraph"/>
      </w:pPr>
      <w:r>
        <w:t xml:space="preserve">Compliance with the regulatory framework of Uzbekistan was a focal point of this Peer Review Report. The Pharmacist adhered strictly to the protocols for dispensing prescription-only medicines. Documentation for controlled substances was found to be accurate and up-to-date, reflecting a clear understanding of national narcotics control regulations. The Pharmacist also demonstrated knowledge of the recent updates to the pharmaceutical legislation in Tashkent, ensuring that all dispensing activities met the current legal requirements.</w:t>
      </w:r>
    </w:p>
    <w:bookmarkEnd w:id="25"/>
    <w:bookmarkStart w:id="26" w:name="patient-counseling-and-communication"/>
    <w:p>
      <w:pPr>
        <w:pStyle w:val="Heading3"/>
      </w:pPr>
      <w:r>
        <w:t xml:space="preserve">4.3 Patient Counseling and Communication</w:t>
      </w:r>
    </w:p>
    <w:p>
      <w:pPr>
        <w:pStyle w:val="FirstParagraph"/>
      </w:pPr>
      <w:r>
        <w:t xml:space="preserve">Effective communication is vital for a Pharmacist in Tashkent, where the population is diverse. The review observed that the Pharmacist provides clear, concise, and culturally appropriate counseling to patients. The Pharmacist successfully explained medication instructions, potential side effects, and storage requirements. The use of both Uzbek and Russian languages was noted as a significant asset, facilitating better understanding among the local patient demographic. The Pharmacist's approach was empathetic and professional, enhancing patient trust and adherence to therapy.</w:t>
      </w:r>
    </w:p>
    <w:bookmarkEnd w:id="26"/>
    <w:bookmarkStart w:id="27" w:name="inventory-and-storage-management"/>
    <w:p>
      <w:pPr>
        <w:pStyle w:val="Heading3"/>
      </w:pPr>
      <w:r>
        <w:t xml:space="preserve">4.4 Inventory and Storage Management</w:t>
      </w:r>
    </w:p>
    <w:p>
      <w:pPr>
        <w:pStyle w:val="FirstParagraph"/>
      </w:pPr>
      <w:r>
        <w:t xml:space="preserve">The physical environment of the pharmacy was inspected. The Pharmacist maintained the storage conditions in accordance with Good Pharmacy Practice (GPP) standards. Temperature-sensitive medications were stored correctly, and the inventory management system was used effectively to prevent stockouts of essential medicines. The Pharmacist demonstrated proactive management of expiration dates, ensuring that no expired products were available for dispensing.</w:t>
      </w:r>
    </w:p>
    <w:bookmarkEnd w:id="27"/>
    <w:bookmarkEnd w:id="28"/>
    <w:bookmarkStart w:id="29" w:name="areas-for-improvement"/>
    <w:p>
      <w:pPr>
        <w:pStyle w:val="Heading2"/>
      </w:pPr>
      <w:r>
        <w:t xml:space="preserve">5. Areas for Improvement</w:t>
      </w:r>
    </w:p>
    <w:p>
      <w:pPr>
        <w:pStyle w:val="FirstParagraph"/>
      </w:pPr>
      <w:r>
        <w:t xml:space="preserve">While the Pharmacist performed at a high level, the Peer Review Report identifies specific areas for enhancement:</w:t>
      </w:r>
    </w:p>
    <w:p>
      <w:pPr>
        <w:numPr>
          <w:ilvl w:val="0"/>
          <w:numId w:val="1002"/>
        </w:numPr>
        <w:pStyle w:val="Compact"/>
      </w:pPr>
      <w:r>
        <w:rPr>
          <w:bCs/>
          <w:b/>
        </w:rPr>
        <w:t xml:space="preserve">Digital Health Integration:</w:t>
      </w:r>
      <w:r>
        <w:t xml:space="preserve"> </w:t>
      </w:r>
      <w:r>
        <w:t xml:space="preserve">The Pharmacist should further integrate digital tools for patient record-keeping to align with the modernization efforts of the healthcare system in Tashkent.</w:t>
      </w:r>
    </w:p>
    <w:p>
      <w:pPr>
        <w:numPr>
          <w:ilvl w:val="0"/>
          <w:numId w:val="1002"/>
        </w:numPr>
        <w:pStyle w:val="Compact"/>
      </w:pPr>
      <w:r>
        <w:rPr>
          <w:bCs/>
          <w:b/>
        </w:rPr>
        <w:t xml:space="preserve">Continuing Professional Development (CPD):</w:t>
      </w:r>
      <w:r>
        <w:t xml:space="preserve"> </w:t>
      </w:r>
      <w:r>
        <w:t xml:space="preserve">It is recommended that the Pharmacist engage in more frequent CPD activities focused on emerging therapies and international best practices.</w:t>
      </w:r>
    </w:p>
    <w:p>
      <w:pPr>
        <w:numPr>
          <w:ilvl w:val="0"/>
          <w:numId w:val="1002"/>
        </w:numPr>
        <w:pStyle w:val="Compact"/>
      </w:pPr>
      <w:r>
        <w:rPr>
          <w:bCs/>
          <w:b/>
        </w:rPr>
        <w:t xml:space="preserve">Chronic Disease Management:</w:t>
      </w:r>
      <w:r>
        <w:t xml:space="preserve"> </w:t>
      </w:r>
      <w:r>
        <w:t xml:space="preserve">Expanding services to include structured support for patients with chronic conditions, such as diabetes and hypertension, would add significant value to the community in Uzbekistan.</w:t>
      </w:r>
    </w:p>
    <w:bookmarkEnd w:id="29"/>
    <w:bookmarkStart w:id="30" w:name="conclusion-and-recommendation"/>
    <w:p>
      <w:pPr>
        <w:pStyle w:val="Heading2"/>
      </w:pPr>
      <w:r>
        <w:t xml:space="preserve">6. Conclusion and Recommendation</w:t>
      </w:r>
    </w:p>
    <w:p>
      <w:pPr>
        <w:pStyle w:val="FirstParagraph"/>
      </w:pPr>
      <w:r>
        <w:t xml:space="preserve">Based on the comprehensive evaluation conducted for this Peer Review Report, the Pharmacist is deemed fully competent to practice in Tashkent, Uzbekistan. The Pharmacist exhibits the necessary clinical knowledge, regulatory awareness, and professional ethics required to ensure patient safety and quality pharmaceutical care. The minor areas for improvement identified are developmental in nature and do not detract from the overall high standard of practice.</w:t>
      </w:r>
    </w:p>
    <w:p>
      <w:pPr>
        <w:pStyle w:val="BodyText"/>
      </w:pPr>
      <w:r>
        <w:rPr>
          <w:bCs/>
          <w:b/>
        </w:rPr>
        <w:t xml:space="preserve">Recommendation:</w:t>
      </w:r>
      <w:r>
        <w:t xml:space="preserve"> </w:t>
      </w:r>
      <w:r>
        <w:t xml:space="preserve">The Pharmacist is recommended for continued licensure and is encouraged to implement the suggested improvements within the next six months. This Peer Review Report confirms that the Pharmacist is a valuable asset to the healthcare infrastructure of Tashkent.</w:t>
      </w:r>
    </w:p>
    <w:bookmarkEnd w:id="30"/>
    <w:p>
      <w:pPr>
        <w:pStyle w:val="BodyText"/>
      </w:pPr>
      <w:r>
        <w:rPr>
          <w:bCs/>
          <w:b/>
        </w:rPr>
        <w:t xml:space="preserve">Reviewed By:</w:t>
      </w:r>
    </w:p>
    <w:p>
      <w:pPr>
        <w:pStyle w:val="BodyText"/>
      </w:pPr>
      <w:r>
        <w:t xml:space="preserve">Dr. A. Karimov</w:t>
      </w:r>
    </w:p>
    <w:p>
      <w:pPr>
        <w:pStyle w:val="BodyText"/>
      </w:pPr>
      <w:r>
        <w:t xml:space="preserve">Senior Clinical Pharmacist &amp; Peer Reviewer</w:t>
      </w:r>
    </w:p>
    <w:p>
      <w:pPr>
        <w:pStyle w:val="BodyText"/>
      </w:pPr>
      <w:r>
        <w:t xml:space="preserve">Tashkent Regional Pharmacy Quality Assurance Committee</w:t>
      </w:r>
    </w:p>
    <w:p>
      <w:pPr>
        <w:pStyle w:val="BodyText"/>
      </w:pPr>
      <w:r>
        <w:rPr>
          <w:iCs/>
          <w:i/>
        </w:rPr>
        <w:t xml:space="preserve">Republic of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 Tashkent, Uzbekistan</dc:title>
  <dc:creator/>
  <dc:language>en</dc:language>
  <cp:keywords/>
  <dcterms:created xsi:type="dcterms:W3CDTF">2026-10-10T08:51:30Z</dcterms:created>
  <dcterms:modified xsi:type="dcterms:W3CDTF">2026-10-10T08:51:30Z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