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Candidate for Senior Physicist Position</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PR-MSK-PHY-2023-089</w:t>
      </w:r>
    </w:p>
    <w:p>
      <w:pPr>
        <w:pStyle w:val="BodyText"/>
      </w:pPr>
      <w:r>
        <w:rPr>
          <w:bCs/>
          <w:b/>
        </w:rPr>
        <w:t xml:space="preserve">Review Panel:</w:t>
      </w:r>
      <w:r>
        <w:t xml:space="preserve"> </w:t>
      </w:r>
      <w:r>
        <w:t xml:space="preserve">Moscow Institute of Physics and Technology (MIPT)</w:t>
      </w:r>
      <w:r>
        <w:br/>
      </w:r>
      <w:r>
        <w:rPr>
          <w:bCs/>
          <w:b/>
        </w:rPr>
        <w:t xml:space="preserve">Confidentiality:</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presents a comprehensive evaluation of the candidate’s qualifications, research contributions, and professional conduct for the position of Senior</w:t>
      </w:r>
      <w:r>
        <w:t xml:space="preserve"> </w:t>
      </w:r>
      <w:r>
        <w:rPr>
          <w:bCs/>
          <w:b/>
        </w:rPr>
        <w:t xml:space="preserve">Physicist</w:t>
      </w:r>
      <w:r>
        <w:t xml:space="preserve"> </w:t>
      </w:r>
      <w:r>
        <w:t xml:space="preserve">within the scientific community of</w:t>
      </w:r>
      <w:r>
        <w:t xml:space="preserve"> </w:t>
      </w:r>
      <w:r>
        <w:rPr>
          <w:bCs/>
          <w:b/>
        </w:rPr>
        <w:t xml:space="preserve">Russia Moscow</w:t>
      </w:r>
      <w:r>
        <w:t xml:space="preserve">. The review was conducted by a panel of distinguished experts from leading institutions in Moscow, including MIPT and the Lebedev Physical Institute. The candidate demonstrates exceptional theoretical and experimental skills, with a strong alignment to the strategic research priorities of Moscow’s physics sector.</w:t>
      </w:r>
    </w:p>
    <w:p>
      <w:pPr>
        <w:pStyle w:val="BodyText"/>
      </w:pPr>
      <w:r>
        <w:rPr>
          <w:bCs/>
          <w:b/>
        </w:rPr>
        <w:t xml:space="preserve">Overall Recommendation:</w:t>
      </w:r>
      <w:r>
        <w:t xml:space="preserve"> </w:t>
      </w:r>
      <w:r>
        <w:t xml:space="preserve">Highly Recommended for appointment as Senior Physicist in Russia Moscow.</w:t>
      </w:r>
    </w:p>
    <w:bookmarkEnd w:id="21"/>
    <w:bookmarkStart w:id="22" w:name="candidate-background"/>
    <w:p>
      <w:pPr>
        <w:pStyle w:val="Heading2"/>
      </w:pPr>
      <w:r>
        <w:t xml:space="preserve">2. Candidate Background</w:t>
      </w:r>
    </w:p>
    <w:p>
      <w:pPr>
        <w:pStyle w:val="FirstParagraph"/>
      </w:pPr>
      <w:r>
        <w:t xml:space="preserve">The candidate holds a Ph.D. in Theoretical Physics from a recognized international university and has accumulated over 12 years of research experience. Their work spans quantum field theory, condensed matter physics, and computational modeling. The candidate has previously collaborated with research groups in</w:t>
      </w:r>
      <w:r>
        <w:t xml:space="preserve"> </w:t>
      </w:r>
      <w:r>
        <w:rPr>
          <w:bCs/>
          <w:b/>
        </w:rPr>
        <w:t xml:space="preserve">Russia Moscow</w:t>
      </w:r>
      <w:r>
        <w:t xml:space="preserve">, contributing to joint publications and grant proposals. Their academic trajectory reflects a consistent commitment to advancing fundamental physics and fostering international scientific cooperation.</w:t>
      </w:r>
    </w:p>
    <w:bookmarkEnd w:id="22"/>
    <w:bookmarkStart w:id="25" w:name="research-contributions"/>
    <w:p>
      <w:pPr>
        <w:pStyle w:val="Heading2"/>
      </w:pPr>
      <w:r>
        <w:t xml:space="preserve">3. Research Contributions</w:t>
      </w:r>
    </w:p>
    <w:bookmarkStart w:id="23" w:name="publications-and-citations"/>
    <w:p>
      <w:pPr>
        <w:pStyle w:val="Heading3"/>
      </w:pPr>
      <w:r>
        <w:t xml:space="preserve">3.1 Publications and Citations</w:t>
      </w:r>
    </w:p>
    <w:p>
      <w:pPr>
        <w:pStyle w:val="FirstParagraph"/>
      </w:pPr>
      <w:r>
        <w:t xml:space="preserve">The candidate has authored or co-authored 47 peer-reviewed articles in high-impact journals such as</w:t>
      </w:r>
      <w:r>
        <w:t xml:space="preserve"> </w:t>
      </w:r>
      <w:r>
        <w:rPr>
          <w:iCs/>
          <w:i/>
        </w:rPr>
        <w:t xml:space="preserve">Physical Review Letters</w:t>
      </w:r>
      <w:r>
        <w:t xml:space="preserve">,</w:t>
      </w:r>
      <w:r>
        <w:t xml:space="preserve"> </w:t>
      </w:r>
      <w:r>
        <w:rPr>
          <w:iCs/>
          <w:i/>
        </w:rPr>
        <w:t xml:space="preserve">Nature Physics</w:t>
      </w:r>
      <w:r>
        <w:t xml:space="preserve">, and</w:t>
      </w:r>
      <w:r>
        <w:t xml:space="preserve"> </w:t>
      </w:r>
      <w:r>
        <w:rPr>
          <w:iCs/>
          <w:i/>
        </w:rPr>
        <w:t xml:space="preserve">Journal of Experimental and Theoretical Physics</w:t>
      </w:r>
      <w:r>
        <w:t xml:space="preserve">. Their work has been cited over 1,200 times, indicating significant influence within the global physics community. Several publications directly address topics of national interest to</w:t>
      </w:r>
      <w:r>
        <w:t xml:space="preserve"> </w:t>
      </w:r>
      <w:r>
        <w:rPr>
          <w:bCs/>
          <w:b/>
        </w:rPr>
        <w:t xml:space="preserve">Russia Moscow</w:t>
      </w:r>
      <w:r>
        <w:t xml:space="preserve">, including quantum computing materials and high-energy particle interactions.</w:t>
      </w:r>
    </w:p>
    <w:bookmarkEnd w:id="23"/>
    <w:bookmarkStart w:id="24" w:name="research-projects"/>
    <w:p>
      <w:pPr>
        <w:pStyle w:val="Heading3"/>
      </w:pPr>
      <w:r>
        <w:t xml:space="preserve">3.2 Research Projects</w:t>
      </w:r>
    </w:p>
    <w:p>
      <w:pPr>
        <w:pStyle w:val="FirstParagraph"/>
      </w:pPr>
      <w:r>
        <w:t xml:space="preserve">The candidate has led three major research projects funded by international and national agencies. Notably, their recent project on topological insulators was conducted in collaboration with laboratories in</w:t>
      </w:r>
      <w:r>
        <w:t xml:space="preserve"> </w:t>
      </w:r>
      <w:r>
        <w:rPr>
          <w:bCs/>
          <w:b/>
        </w:rPr>
        <w:t xml:space="preserve">Russia Moscow</w:t>
      </w:r>
      <w:r>
        <w:t xml:space="preserve">, resulting in breakthrough findings published in 2022. Their ability to secure funding and manage multidisciplinary teams is exemplary.</w:t>
      </w:r>
    </w:p>
    <w:bookmarkEnd w:id="24"/>
    <w:bookmarkEnd w:id="25"/>
    <w:bookmarkStart w:id="26" w:name="technical-expertise"/>
    <w:p>
      <w:pPr>
        <w:pStyle w:val="Heading2"/>
      </w:pPr>
      <w:r>
        <w:t xml:space="preserve">4. Technical Expertise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Expertise</w:t>
            </w:r>
          </w:p>
        </w:tc>
        <w:tc>
          <w:tcPr/>
          <w:p>
            <w:pPr>
              <w:pStyle w:val="Compact"/>
              <w:jc w:val="left"/>
            </w:pPr>
            <w:r>
              <w:t xml:space="preserve">Proficiency Level</w:t>
            </w:r>
          </w:p>
        </w:tc>
        <w:tc>
          <w:tcPr/>
          <w:p>
            <w:pPr>
              <w:pStyle w:val="Compact"/>
              <w:jc w:val="left"/>
            </w:pPr>
            <w:r>
              <w:t xml:space="preserve">Comments</w:t>
            </w:r>
          </w:p>
        </w:tc>
      </w:tr>
      <w:tr>
        <w:tc>
          <w:tcPr/>
          <w:p>
            <w:pPr>
              <w:pStyle w:val="Compact"/>
              <w:jc w:val="left"/>
            </w:pPr>
            <w:r>
              <w:t xml:space="preserve">Quantum Field Theory</w:t>
            </w:r>
          </w:p>
        </w:tc>
        <w:tc>
          <w:tcPr/>
          <w:p>
            <w:pPr>
              <w:pStyle w:val="Compact"/>
              <w:jc w:val="left"/>
            </w:pPr>
            <w:r>
              <w:t xml:space="preserve">Expert</w:t>
            </w:r>
          </w:p>
        </w:tc>
        <w:tc>
          <w:tcPr/>
          <w:p>
            <w:pPr>
              <w:pStyle w:val="Compact"/>
              <w:jc w:val="left"/>
            </w:pPr>
            <w:r>
              <w:t xml:space="preserve">Deep theoretical understanding; published seminal work.</w:t>
            </w:r>
          </w:p>
        </w:tc>
      </w:tr>
      <w:tr>
        <w:tc>
          <w:tcPr/>
          <w:p>
            <w:pPr>
              <w:pStyle w:val="Compact"/>
              <w:jc w:val="left"/>
            </w:pPr>
            <w:r>
              <w:t xml:space="preserve">Condensed Matter Physics</w:t>
            </w:r>
          </w:p>
        </w:tc>
        <w:tc>
          <w:tcPr/>
          <w:p>
            <w:pPr>
              <w:pStyle w:val="Compact"/>
              <w:jc w:val="left"/>
            </w:pPr>
            <w:r>
              <w:t xml:space="preserve">Advanced</w:t>
            </w:r>
          </w:p>
        </w:tc>
        <w:tc>
          <w:tcPr/>
          <w:p>
            <w:pPr>
              <w:pStyle w:val="Compact"/>
              <w:jc w:val="left"/>
            </w:pPr>
            <w:r>
              <w:t xml:space="preserve">Strong experimental and computational skills.</w:t>
            </w:r>
          </w:p>
        </w:tc>
      </w:tr>
      <w:tr>
        <w:tc>
          <w:tcPr/>
          <w:p>
            <w:pPr>
              <w:pStyle w:val="Compact"/>
              <w:jc w:val="left"/>
            </w:pPr>
            <w:r>
              <w:t xml:space="preserve">Computational Modeling</w:t>
            </w:r>
          </w:p>
        </w:tc>
        <w:tc>
          <w:tcPr/>
          <w:p>
            <w:pPr>
              <w:pStyle w:val="Compact"/>
              <w:jc w:val="left"/>
            </w:pPr>
            <w:r>
              <w:t xml:space="preserve">Advanced</w:t>
            </w:r>
          </w:p>
        </w:tc>
        <w:tc>
          <w:tcPr/>
          <w:p>
            <w:pPr>
              <w:pStyle w:val="Compact"/>
              <w:jc w:val="left"/>
            </w:pPr>
            <w:r>
              <w:t xml:space="preserve">Proficient in Python, C++, and specialized simulation tools.</w:t>
            </w:r>
          </w:p>
        </w:tc>
      </w:tr>
      <w:tr>
        <w:tc>
          <w:tcPr/>
          <w:p>
            <w:pPr>
              <w:pStyle w:val="Compact"/>
              <w:jc w:val="left"/>
            </w:pPr>
            <w:r>
              <w:t xml:space="preserve">High-Energy Physics</w:t>
            </w:r>
          </w:p>
        </w:tc>
        <w:tc>
          <w:tcPr/>
          <w:p>
            <w:pPr>
              <w:pStyle w:val="Compact"/>
              <w:jc w:val="left"/>
            </w:pPr>
            <w:r>
              <w:t xml:space="preserve">Intermediate</w:t>
            </w:r>
          </w:p>
        </w:tc>
        <w:tc>
          <w:tcPr/>
          <w:p>
            <w:pPr>
              <w:pStyle w:val="Compact"/>
              <w:jc w:val="left"/>
            </w:pPr>
            <w:r>
              <w:t xml:space="preserve">Collaborative contributions; potential for growth.</w:t>
            </w:r>
          </w:p>
        </w:tc>
      </w:tr>
    </w:tbl>
    <w:p>
      <w:pPr>
        <w:pStyle w:val="BodyText"/>
      </w:pPr>
      <w:r>
        <w:t xml:space="preserve">Proficiency Levels: Beginner, Intermediate, Advanced, Expert</w:t>
      </w:r>
    </w:p>
    <w:bookmarkEnd w:id="26"/>
    <w:bookmarkStart w:id="27" w:name="X7daecf2f9169a56dd323250f547c26ea3d72bb1"/>
    <w:p>
      <w:pPr>
        <w:pStyle w:val="Heading2"/>
      </w:pPr>
      <w:r>
        <w:t xml:space="preserve">5. Alignment with Russia Moscow Scientific Priorities</w:t>
      </w:r>
    </w:p>
    <w:p>
      <w:pPr>
        <w:pStyle w:val="FirstParagraph"/>
      </w:pPr>
      <w:r>
        <w:t xml:space="preserve">The candidate’s research agenda aligns closely with the strategic goals of</w:t>
      </w:r>
      <w:r>
        <w:t xml:space="preserve"> </w:t>
      </w:r>
      <w:r>
        <w:rPr>
          <w:bCs/>
          <w:b/>
        </w:rPr>
        <w:t xml:space="preserve">Russia Moscow</w:t>
      </w:r>
      <w:r>
        <w:t xml:space="preserve">’s physics institutions. Key areas of alignment include:</w:t>
      </w:r>
    </w:p>
    <w:p>
      <w:pPr>
        <w:numPr>
          <w:ilvl w:val="0"/>
          <w:numId w:val="1001"/>
        </w:numPr>
        <w:pStyle w:val="Compact"/>
      </w:pPr>
      <w:r>
        <w:rPr>
          <w:bCs/>
          <w:b/>
        </w:rPr>
        <w:t xml:space="preserve">Quantum Technologies:</w:t>
      </w:r>
      <w:r>
        <w:t xml:space="preserve"> </w:t>
      </w:r>
      <w:r>
        <w:t xml:space="preserve">The candidate’s work on quantum materials supports Moscow’s initiatives in quantum computing and secure communications.</w:t>
      </w:r>
    </w:p>
    <w:p>
      <w:pPr>
        <w:numPr>
          <w:ilvl w:val="0"/>
          <w:numId w:val="1001"/>
        </w:numPr>
        <w:pStyle w:val="Compact"/>
      </w:pPr>
      <w:r>
        <w:rPr>
          <w:bCs/>
          <w:b/>
        </w:rPr>
        <w:t xml:space="preserve">International Collaboration:</w:t>
      </w:r>
      <w:r>
        <w:t xml:space="preserve"> </w:t>
      </w:r>
      <w:r>
        <w:t xml:space="preserve">Their experience working with global partners enhances Moscow’s position as a hub for international scientific exchange.</w:t>
      </w:r>
    </w:p>
    <w:p>
      <w:pPr>
        <w:numPr>
          <w:ilvl w:val="0"/>
          <w:numId w:val="1001"/>
        </w:numPr>
        <w:pStyle w:val="Compact"/>
      </w:pPr>
      <w:r>
        <w:rPr>
          <w:bCs/>
          <w:b/>
        </w:rPr>
        <w:t xml:space="preserve">Education and Mentorship:</w:t>
      </w:r>
      <w:r>
        <w:t xml:space="preserve"> </w:t>
      </w:r>
      <w:r>
        <w:t xml:space="preserve">The candidate has a proven track record of supervising graduate students and postdoctoral researchers, which is vital for sustaining Moscow’s scientific workforce.</w:t>
      </w:r>
    </w:p>
    <w:bookmarkEnd w:id="27"/>
    <w:bookmarkStart w:id="28" w:name="professional-conduct-and-collaboration"/>
    <w:p>
      <w:pPr>
        <w:pStyle w:val="Heading2"/>
      </w:pPr>
      <w:r>
        <w:t xml:space="preserve">6. Professional Conduct and Collaboration</w:t>
      </w:r>
    </w:p>
    <w:p>
      <w:pPr>
        <w:pStyle w:val="FirstParagraph"/>
      </w:pPr>
      <w:r>
        <w:t xml:space="preserve">References from colleagues in</w:t>
      </w:r>
      <w:r>
        <w:t xml:space="preserve"> </w:t>
      </w:r>
      <w:r>
        <w:rPr>
          <w:bCs/>
          <w:b/>
        </w:rPr>
        <w:t xml:space="preserve">Russia Moscow</w:t>
      </w:r>
      <w:r>
        <w:t xml:space="preserve"> </w:t>
      </w:r>
      <w:r>
        <w:t xml:space="preserve">and abroad highlight the candidate’s integrity, collaborative spirit, and leadership qualities. They are described as a constructive team player who actively contributes to peer review processes and conference organization. Their ability to communicate complex ideas clearly, both in English and Russian, facilitates effective collaboration within Moscow’s diverse scientific community.</w:t>
      </w:r>
    </w:p>
    <w:bookmarkEnd w:id="28"/>
    <w:bookmarkStart w:id="29" w:name="areas-for-development"/>
    <w:p>
      <w:pPr>
        <w:pStyle w:val="Heading2"/>
      </w:pPr>
      <w:r>
        <w:t xml:space="preserve">7. Areas for Development</w:t>
      </w:r>
    </w:p>
    <w:p>
      <w:pPr>
        <w:pStyle w:val="FirstParagraph"/>
      </w:pPr>
      <w:r>
        <w:t xml:space="preserve">While the candidate’s profile is strong, the review panel notes the following areas for potential development:</w:t>
      </w:r>
    </w:p>
    <w:p>
      <w:pPr>
        <w:numPr>
          <w:ilvl w:val="0"/>
          <w:numId w:val="1002"/>
        </w:numPr>
        <w:pStyle w:val="Compact"/>
      </w:pPr>
      <w:r>
        <w:t xml:space="preserve">Expanding involvement in national grant applications specific to</w:t>
      </w:r>
      <w:r>
        <w:t xml:space="preserve"> </w:t>
      </w:r>
      <w:r>
        <w:rPr>
          <w:bCs/>
          <w:b/>
        </w:rPr>
        <w:t xml:space="preserve">Russia Moscow</w:t>
      </w:r>
      <w:r>
        <w:t xml:space="preserve"> </w:t>
      </w:r>
      <w:r>
        <w:t xml:space="preserve">funding mechanisms.</w:t>
      </w:r>
    </w:p>
    <w:p>
      <w:pPr>
        <w:numPr>
          <w:ilvl w:val="0"/>
          <w:numId w:val="1002"/>
        </w:numPr>
        <w:pStyle w:val="Compact"/>
      </w:pPr>
      <w:r>
        <w:t xml:space="preserve">Increasing visibility in local scientific societies and conferences within Moscow.</w:t>
      </w:r>
    </w:p>
    <w:p>
      <w:pPr>
        <w:numPr>
          <w:ilvl w:val="0"/>
          <w:numId w:val="1002"/>
        </w:numPr>
        <w:pStyle w:val="Compact"/>
      </w:pPr>
      <w:r>
        <w:t xml:space="preserve">Further integration of experimental validation into theoretical models to strengthen interdisciplinary impact.</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 candidate is exceptionally well-qualified for the position of Senior</w:t>
      </w:r>
      <w:r>
        <w:t xml:space="preserve"> </w:t>
      </w:r>
      <w:r>
        <w:rPr>
          <w:bCs/>
          <w:b/>
        </w:rPr>
        <w:t xml:space="preserve">Physicist</w:t>
      </w:r>
      <w:r>
        <w:t xml:space="preserve"> </w:t>
      </w:r>
      <w:r>
        <w:t xml:space="preserve">in</w:t>
      </w:r>
      <w:r>
        <w:t xml:space="preserve"> </w:t>
      </w:r>
      <w:r>
        <w:rPr>
          <w:bCs/>
          <w:b/>
        </w:rPr>
        <w:t xml:space="preserve">Russia Moscow</w:t>
      </w:r>
      <w:r>
        <w:t xml:space="preserve">. Their research excellence, technical expertise, and alignment with Moscow’s scientific priorities make them a valuable asset to the institution. The panel unanimously recommends their appointment, with confidence that they will contribute significantly to the advancement of physics research and education in Moscow.</w:t>
      </w:r>
    </w:p>
    <w:bookmarkEnd w:id="30"/>
    <w:p>
      <w:pPr>
        <w:pStyle w:val="BodyText"/>
      </w:pPr>
      <w:r>
        <w:t xml:space="preserve">This document is intended solely for the use of the evaluating institution in</w:t>
      </w:r>
      <w:r>
        <w:t xml:space="preserve"> </w:t>
      </w:r>
      <w:r>
        <w:rPr>
          <w:bCs/>
          <w:b/>
        </w:rPr>
        <w:t xml:space="preserve">Russia Moscow</w:t>
      </w:r>
      <w:r>
        <w:t xml:space="preserve">. Unauthorized distribution is prohibited.</w:t>
      </w:r>
      <w:r>
        <w:br/>
      </w:r>
      <w:r>
        <w:t xml:space="preserve">Prepared by the Peer Review Committee, Moscow Institute of Physics and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Russia Moscow</dc:title>
  <dc:creator/>
  <dc:language>en</dc:language>
  <cp:keywords/>
  <dcterms:created xsi:type="dcterms:W3CDTF">2026-10-10T04:44:04Z</dcterms:created>
  <dcterms:modified xsi:type="dcterms:W3CDTF">2026-10-10T04:44:04Z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