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faa3ac56d29be132792731f9acd66d8e3256451"/>
    <w:p>
      <w:pPr>
        <w:pStyle w:val="Heading1"/>
      </w:pPr>
      <w:r>
        <w:t xml:space="preserve">Peer Review Report: Physiotherapist Clinical Practice</w:t>
      </w:r>
    </w:p>
    <w:p>
      <w:pPr>
        <w:pStyle w:val="FirstParagraph"/>
      </w:pPr>
      <w:r>
        <w:rPr>
          <w:bCs/>
          <w:b/>
        </w:rPr>
        <w:t xml:space="preserve">Date of Report:</w:t>
      </w:r>
      <w:r>
        <w:t xml:space="preserve"> </w:t>
      </w:r>
      <w:r>
        <w:t xml:space="preserve">October 26, 2023</w:t>
      </w:r>
    </w:p>
    <w:p>
      <w:pPr>
        <w:pStyle w:val="BodyText"/>
      </w:pPr>
      <w:r>
        <w:rPr>
          <w:bCs/>
          <w:b/>
        </w:rPr>
        <w:t xml:space="preserve">Location:</w:t>
      </w:r>
      <w:r>
        <w:t xml:space="preserve"> </w:t>
      </w:r>
      <w:r>
        <w:t xml:space="preserve">New Zealand Auckland</w:t>
      </w:r>
    </w:p>
    <w:p>
      <w:pPr>
        <w:pStyle w:val="BodyText"/>
      </w:pPr>
      <w:r>
        <w:rPr>
          <w:bCs/>
          <w:b/>
        </w:rPr>
        <w:t xml:space="preserve">Subject:</w:t>
      </w:r>
      <w:r>
        <w:t xml:space="preserve"> </w:t>
      </w:r>
      <w:r>
        <w:t xml:space="preserve">Comprehensive Peer Review of Physiotherapist Clinical Standards and Practice</w:t>
      </w:r>
    </w:p>
    <w:bookmarkStart w:id="20" w:name="introduction-and-purpose"/>
    <w:p>
      <w:pPr>
        <w:pStyle w:val="Heading2"/>
      </w:pPr>
      <w:r>
        <w:t xml:space="preserve">1. Introduction and Purpose</w:t>
      </w:r>
    </w:p>
    <w:p>
      <w:pPr>
        <w:pStyle w:val="FirstParagraph"/>
      </w:pPr>
      <w:r>
        <w:t xml:space="preserve">This Peer Review Report has been prepared to evaluate the clinical practice, professional conduct, and adherence to regulatory standards of a registered Physiotherapist operating within the New Zealand Auckland region. The primary objective of this review is to ensure that the physiotherapist maintains the highest standards of patient care, safety, and professional integrity as mandated by the Physiotherapy Board of New Zealand (PBONZ) and the Health and Disability Commissioner (HDC).</w:t>
      </w:r>
    </w:p>
    <w:p>
      <w:pPr>
        <w:pStyle w:val="BodyText"/>
      </w:pPr>
      <w:r>
        <w:t xml:space="preserve">In the dynamic healthcare landscape of New Zealand Auckland, physiotherapists play a critical role in managing musculoskeletal conditions, neurological rehabilitation, and sports injuries. This report assesses whether the physiotherapist’s practice aligns with the Code of Conduct for Physiotherapists, the Guidelines for Physiotherapy Practice, and local healthcare protocols specific to Auckland’s diverse population.</w:t>
      </w:r>
    </w:p>
    <w:bookmarkEnd w:id="20"/>
    <w:bookmarkStart w:id="21" w:name="scope-of-the-peer-review"/>
    <w:p>
      <w:pPr>
        <w:pStyle w:val="Heading2"/>
      </w:pPr>
      <w:r>
        <w:t xml:space="preserve">2. Scope of the Peer Review</w:t>
      </w:r>
    </w:p>
    <w:p>
      <w:pPr>
        <w:pStyle w:val="FirstParagraph"/>
      </w:pPr>
      <w:r>
        <w:t xml:space="preserve">The scope of this Peer Review Report encompasses the following key areas:</w:t>
      </w:r>
    </w:p>
    <w:p>
      <w:pPr>
        <w:numPr>
          <w:ilvl w:val="0"/>
          <w:numId w:val="1001"/>
        </w:numPr>
        <w:pStyle w:val="Compact"/>
      </w:pPr>
      <w:r>
        <w:rPr>
          <w:bCs/>
          <w:b/>
        </w:rPr>
        <w:t xml:space="preserve">Clinical Competence:</w:t>
      </w:r>
      <w:r>
        <w:t xml:space="preserve"> </w:t>
      </w:r>
      <w:r>
        <w:t xml:space="preserve">Assessment of diagnostic accuracy, treatment planning, and intervention techniques.</w:t>
      </w:r>
    </w:p>
    <w:p>
      <w:pPr>
        <w:numPr>
          <w:ilvl w:val="0"/>
          <w:numId w:val="1001"/>
        </w:numPr>
        <w:pStyle w:val="Compact"/>
      </w:pPr>
      <w:r>
        <w:rPr>
          <w:bCs/>
          <w:b/>
        </w:rPr>
        <w:t xml:space="preserve">Patient Safety:</w:t>
      </w:r>
      <w:r>
        <w:t xml:space="preserve"> </w:t>
      </w:r>
      <w:r>
        <w:t xml:space="preserve">Evaluation of risk management, infection control, and emergency preparedness.</w:t>
      </w:r>
    </w:p>
    <w:p>
      <w:pPr>
        <w:numPr>
          <w:ilvl w:val="0"/>
          <w:numId w:val="1001"/>
        </w:numPr>
        <w:pStyle w:val="Compact"/>
      </w:pPr>
      <w:r>
        <w:rPr>
          <w:bCs/>
          <w:b/>
        </w:rPr>
        <w:t xml:space="preserve">Professional Conduct:</w:t>
      </w:r>
      <w:r>
        <w:t xml:space="preserve"> </w:t>
      </w:r>
      <w:r>
        <w:t xml:space="preserve">Review of ethical behavior, communication skills, and cultural competence.</w:t>
      </w:r>
    </w:p>
    <w:p>
      <w:pPr>
        <w:numPr>
          <w:ilvl w:val="0"/>
          <w:numId w:val="1001"/>
        </w:numPr>
        <w:pStyle w:val="Compact"/>
      </w:pPr>
      <w:r>
        <w:rPr>
          <w:bCs/>
          <w:b/>
        </w:rPr>
        <w:t xml:space="preserve">Documentation:</w:t>
      </w:r>
      <w:r>
        <w:t xml:space="preserve"> </w:t>
      </w:r>
      <w:r>
        <w:t xml:space="preserve">Analysis of clinical records, consent forms, and referral management.</w:t>
      </w:r>
    </w:p>
    <w:p>
      <w:pPr>
        <w:numPr>
          <w:ilvl w:val="0"/>
          <w:numId w:val="1001"/>
        </w:numPr>
        <w:pStyle w:val="Compact"/>
      </w:pPr>
      <w:r>
        <w:rPr>
          <w:bCs/>
          <w:b/>
        </w:rPr>
        <w:t xml:space="preserve">Regulatory Compliance:</w:t>
      </w:r>
      <w:r>
        <w:t xml:space="preserve"> </w:t>
      </w:r>
      <w:r>
        <w:t xml:space="preserve">Verification of adherence to PBONZ standards and New Zealand healthcare laws.</w:t>
      </w:r>
    </w:p>
    <w:bookmarkEnd w:id="21"/>
    <w:bookmarkStart w:id="22" w:name="Xaa9b36e5b7f8c1d8f09cffbf31c88708ff737e8"/>
    <w:p>
      <w:pPr>
        <w:pStyle w:val="Heading2"/>
      </w:pPr>
      <w:r>
        <w:t xml:space="preserve">3. Clinical Competence and Practice Standards</w:t>
      </w:r>
    </w:p>
    <w:p>
      <w:pPr>
        <w:pStyle w:val="FirstParagraph"/>
      </w:pPr>
      <w:r>
        <w:t xml:space="preserve">The physiotherapist’s clinical competence was evaluated through case file reviews, direct observation of patient interactions, and self-assessment interviews. The review found that the physiotherapist demonstrates a strong understanding of evidence-based practice, utilizing current research to inform treatment decisions. In the context of New Zealand Auckland, where sports injuries and occupational health issues are prevalent, the physiotherapist’s ability to tailor interventions to individual patient needs is particularly commendable.</w:t>
      </w:r>
    </w:p>
    <w:p>
      <w:pPr>
        <w:pStyle w:val="BodyText"/>
      </w:pPr>
      <w:r>
        <w:t xml:space="preserve">Key observations include:</w:t>
      </w:r>
    </w:p>
    <w:p>
      <w:pPr>
        <w:numPr>
          <w:ilvl w:val="0"/>
          <w:numId w:val="1002"/>
        </w:numPr>
        <w:pStyle w:val="Compact"/>
      </w:pPr>
      <w:r>
        <w:t xml:space="preserve">Accurate assessment and diagnosis of musculoskeletal and neurological conditions.</w:t>
      </w:r>
    </w:p>
    <w:p>
      <w:pPr>
        <w:numPr>
          <w:ilvl w:val="0"/>
          <w:numId w:val="1002"/>
        </w:numPr>
        <w:pStyle w:val="Compact"/>
      </w:pPr>
      <w:r>
        <w:t xml:space="preserve">Effective use of manual therapy, exercise prescription, and electrotherapy modalities.</w:t>
      </w:r>
    </w:p>
    <w:p>
      <w:pPr>
        <w:numPr>
          <w:ilvl w:val="0"/>
          <w:numId w:val="1002"/>
        </w:numPr>
        <w:pStyle w:val="Compact"/>
      </w:pPr>
      <w:r>
        <w:t xml:space="preserve">Clear communication of treatment goals and expected outcomes to patients.</w:t>
      </w:r>
    </w:p>
    <w:p>
      <w:pPr>
        <w:numPr>
          <w:ilvl w:val="0"/>
          <w:numId w:val="1002"/>
        </w:numPr>
        <w:pStyle w:val="Compact"/>
      </w:pPr>
      <w:r>
        <w:t xml:space="preserve">Regular review and adjustment of treatment plans based on patient progress.</w:t>
      </w:r>
    </w:p>
    <w:p>
      <w:pPr>
        <w:pStyle w:val="FirstParagraph"/>
      </w:pPr>
      <w:r>
        <w:t xml:space="preserve">However, the review identified an area for improvement in the documentation of complex neurological cases. While the physiotherapist’s clinical skills are robust, more detailed notes on patient responses to interventions would enhance continuity of care and support future clinical decision-making.</w:t>
      </w:r>
    </w:p>
    <w:bookmarkEnd w:id="22"/>
    <w:bookmarkStart w:id="23" w:name="patient-safety-and-risk-management"/>
    <w:p>
      <w:pPr>
        <w:pStyle w:val="Heading2"/>
      </w:pPr>
      <w:r>
        <w:t xml:space="preserve">4. Patient Safety and Risk Management</w:t>
      </w:r>
    </w:p>
    <w:p>
      <w:pPr>
        <w:pStyle w:val="FirstParagraph"/>
      </w:pPr>
      <w:r>
        <w:t xml:space="preserve">Patient safety is a cornerstone of physiotherapy practice in New Zealand Auckland. This Peer Review Report assessed the physiotherapist’s adherence to safety protocols, including infection control, equipment maintenance, and emergency procedures. The physiotherapist was found to maintain a clean and organized clinical environment, with up-to-date infection control practices that align with Health New Zealand (Te Whatu Ora) guidelines.</w:t>
      </w:r>
    </w:p>
    <w:p>
      <w:pPr>
        <w:pStyle w:val="BodyText"/>
      </w:pPr>
      <w:r>
        <w:t xml:space="preserve">The review also examined the physiotherapist’s approach to risk management, particularly in high-risk patient populations such as the elderly or those with chronic conditions. The physiotherapist demonstrated a proactive approach to identifying and mitigating risks, including the use of fall prevention strategies and safe handling techniques. However, it was recommended that the physiotherapist undergo additional training in managing medical emergencies, such as cardiac events or severe allergic reactions, to further enhance patient safety.</w:t>
      </w:r>
    </w:p>
    <w:bookmarkEnd w:id="23"/>
    <w:bookmarkStart w:id="24" w:name="X9c6b1a87db2d80805d66c723628dde8843dc60b"/>
    <w:p>
      <w:pPr>
        <w:pStyle w:val="Heading2"/>
      </w:pPr>
      <w:r>
        <w:t xml:space="preserve">5. Professional Conduct and Cultural Competence</w:t>
      </w:r>
    </w:p>
    <w:p>
      <w:pPr>
        <w:pStyle w:val="FirstParagraph"/>
      </w:pPr>
      <w:r>
        <w:t xml:space="preserve">New Zealand Auckland is a culturally diverse city, and physiotherapists must be equipped to provide culturally safe care to patients from various backgrounds. This Peer Review Report evaluated the physiotherapist’s cultural competence, communication skills, and adherence to the Treaty of Waitangi principles.</w:t>
      </w:r>
    </w:p>
    <w:p>
      <w:pPr>
        <w:pStyle w:val="BodyText"/>
      </w:pPr>
      <w:r>
        <w:t xml:space="preserve">The physiotherapist was found to demonstrate respect for patients’ cultural beliefs and preferences, actively seeking to understand their perspectives and incorporating them into treatment plans. The use of interpreters and culturally appropriate resources was noted as a positive practice. However, the review recommended that the physiotherapist engage in ongoing cultural competency training to further enhance their ability to provide inclusive care to Māori and Pacific communities, who are significant populations in New Zealand Auckland.</w:t>
      </w:r>
    </w:p>
    <w:bookmarkEnd w:id="24"/>
    <w:bookmarkStart w:id="25" w:name="documentation-and-record-keeping"/>
    <w:p>
      <w:pPr>
        <w:pStyle w:val="Heading2"/>
      </w:pPr>
      <w:r>
        <w:t xml:space="preserve">6. Documentation and Record Keeping</w:t>
      </w:r>
    </w:p>
    <w:p>
      <w:pPr>
        <w:pStyle w:val="FirstParagraph"/>
      </w:pPr>
      <w:r>
        <w:t xml:space="preserve">Accurate and comprehensive documentation is essential for effective physiotherapy practice and legal compliance. This Peer Review Report assessed the physiotherapist’s clinical records, including patient assessments, treatment plans, progress notes, and discharge summaries.</w:t>
      </w:r>
    </w:p>
    <w:p>
      <w:pPr>
        <w:pStyle w:val="BodyText"/>
      </w:pPr>
      <w:r>
        <w:t xml:space="preserve">The physiotherapist’s documentation was generally clear and concise, with most records meeting the standards set by the Physiotherapy Board of New Zealand. However, some inconsistencies were identified in the timing of record updates and the level of detail provided in certain cases. It was recommended that the physiotherapist implement a more systematic approach to documentation, ensuring that all records are completed promptly and thoroughly.</w:t>
      </w:r>
    </w:p>
    <w:bookmarkEnd w:id="25"/>
    <w:bookmarkStart w:id="26" w:name="X104bdfb8a586b72f09489ce4a727995886facef"/>
    <w:p>
      <w:pPr>
        <w:pStyle w:val="Heading2"/>
      </w:pPr>
      <w:r>
        <w:t xml:space="preserve">7. Regulatory Compliance and Continuing Professional Development</w:t>
      </w:r>
    </w:p>
    <w:p>
      <w:pPr>
        <w:pStyle w:val="FirstParagraph"/>
      </w:pPr>
      <w:r>
        <w:t xml:space="preserve">The physiotherapist’s compliance with regulatory requirements was verified, including registration with the Physiotherapy Board of New Zealand, adherence to the Code of Conduct, and participation in continuing professional development (CPD). The physiotherapist was found to be fully registered and in good standing, with a robust CPD plan that includes attendance at conferences, workshops, and online courses.</w:t>
      </w:r>
    </w:p>
    <w:p>
      <w:pPr>
        <w:pStyle w:val="BodyText"/>
      </w:pPr>
      <w:r>
        <w:t xml:space="preserve">The review recommended that the physiotherapist focus their CPD activities on emerging areas of physiotherapy practice, such as telehealth and digital health tools, which are increasingly relevant in the New Zealand Auckland healthcare context.</w:t>
      </w:r>
    </w:p>
    <w:bookmarkEnd w:id="26"/>
    <w:bookmarkStart w:id="27" w:name="recommendations-and-action-plan"/>
    <w:p>
      <w:pPr>
        <w:pStyle w:val="Heading2"/>
      </w:pPr>
      <w:r>
        <w:t xml:space="preserve">8. Recommendations and Action Plan</w:t>
      </w:r>
    </w:p>
    <w:p>
      <w:pPr>
        <w:pStyle w:val="FirstParagraph"/>
      </w:pPr>
      <w:r>
        <w:t xml:space="preserve">Based on the findings of this Peer Review Report, the following recommendations are made to enhance the physiotherapist’s practice:</w:t>
      </w:r>
    </w:p>
    <w:p>
      <w:pPr>
        <w:numPr>
          <w:ilvl w:val="0"/>
          <w:numId w:val="1003"/>
        </w:numPr>
        <w:pStyle w:val="Compact"/>
      </w:pPr>
      <w:r>
        <w:t xml:space="preserve">Improve documentation practices, particularly for complex neurological cases.</w:t>
      </w:r>
    </w:p>
    <w:p>
      <w:pPr>
        <w:numPr>
          <w:ilvl w:val="0"/>
          <w:numId w:val="1003"/>
        </w:numPr>
        <w:pStyle w:val="Compact"/>
      </w:pPr>
      <w:r>
        <w:t xml:space="preserve">Undertake additional training in medical emergency management.</w:t>
      </w:r>
    </w:p>
    <w:p>
      <w:pPr>
        <w:numPr>
          <w:ilvl w:val="0"/>
          <w:numId w:val="1003"/>
        </w:numPr>
        <w:pStyle w:val="Compact"/>
      </w:pPr>
      <w:r>
        <w:t xml:space="preserve">Engage in ongoing cultural competency training to better serve Māori and Pacific communities.</w:t>
      </w:r>
    </w:p>
    <w:p>
      <w:pPr>
        <w:numPr>
          <w:ilvl w:val="0"/>
          <w:numId w:val="1003"/>
        </w:numPr>
        <w:pStyle w:val="Compact"/>
      </w:pPr>
      <w:r>
        <w:t xml:space="preserve">Implement a more systematic approach to clinical record keeping.</w:t>
      </w:r>
    </w:p>
    <w:p>
      <w:pPr>
        <w:numPr>
          <w:ilvl w:val="0"/>
          <w:numId w:val="1003"/>
        </w:numPr>
        <w:pStyle w:val="Compact"/>
      </w:pPr>
      <w:r>
        <w:t xml:space="preserve">Focus CPD activities on emerging areas of physiotherapy practice, such as telehealth.</w:t>
      </w:r>
    </w:p>
    <w:p>
      <w:pPr>
        <w:pStyle w:val="FirstParagraph"/>
      </w:pPr>
      <w:r>
        <w:t xml:space="preserve">An action plan should be developed to address these recommendations, with clear timelines and measurable outcomes. A follow-up peer review is recommended within 12 months to assess progress.</w:t>
      </w:r>
    </w:p>
    <w:bookmarkEnd w:id="27"/>
    <w:bookmarkStart w:id="28" w:name="conclusion"/>
    <w:p>
      <w:pPr>
        <w:pStyle w:val="Heading2"/>
      </w:pPr>
      <w:r>
        <w:t xml:space="preserve">9. Conclusion</w:t>
      </w:r>
    </w:p>
    <w:p>
      <w:pPr>
        <w:pStyle w:val="FirstParagraph"/>
      </w:pPr>
      <w:r>
        <w:t xml:space="preserve">This Peer Review Report provides a comprehensive evaluation of the physiotherapist’s clinical practice in New Zealand Auckland. Overall, the physiotherapist demonstrates a high level of competence, professionalism, and commitment to patient care. By addressing the identified areas for improvement, the physiotherapist can further enhance the quality and safety of their practice, ensuring continued alignment with the standards of the Physiotherapy Board of New Zealand and the needs of the Auckland community.</w:t>
      </w:r>
    </w:p>
    <w:p>
      <w:pPr>
        <w:pStyle w:val="BodyText"/>
      </w:pPr>
      <w:r>
        <w:rPr>
          <w:bCs/>
          <w:b/>
        </w:rPr>
        <w:t xml:space="preserve">Prepared by:</w:t>
      </w:r>
    </w:p>
    <w:p>
      <w:pPr>
        <w:pStyle w:val="BodyText"/>
      </w:pPr>
      <w:r>
        <w:t xml:space="preserve">Dr. Jane Smith, Senior Physiotherapist</w:t>
      </w:r>
    </w:p>
    <w:p>
      <w:pPr>
        <w:pStyle w:val="BodyText"/>
      </w:pPr>
      <w:r>
        <w:t xml:space="preserve">Peer Reviewer, Physiotherapy Board of New Zealand</w:t>
      </w:r>
    </w:p>
    <w:p>
      <w:pPr>
        <w:pStyle w:val="BodyText"/>
      </w:pPr>
      <w:r>
        <w:rPr>
          <w:bCs/>
          <w:b/>
        </w:rPr>
        <w:t xml:space="preserve">Reviewed by:</w:t>
      </w:r>
    </w:p>
    <w:p>
      <w:pPr>
        <w:pStyle w:val="BodyText"/>
      </w:pPr>
      <w:r>
        <w:t xml:space="preserve">John Doe, Physiotherapist</w:t>
      </w:r>
    </w:p>
    <w:p>
      <w:pPr>
        <w:pStyle w:val="BodyText"/>
      </w:pPr>
      <w:r>
        <w:t xml:space="preserve">Subject of Peer Review</w:t>
      </w:r>
    </w:p>
    <w:p>
      <w:pPr>
        <w:pStyle w:val="BodyText"/>
      </w:pPr>
      <w:r>
        <w:t xml:space="preserve">This Peer Review Report is confidential and intended solely for the use of the individuals and organizations identified herein. Unauthorized distribution or use is prohibited.</w:t>
      </w:r>
    </w:p>
    <w:p>
      <w:pPr>
        <w:pStyle w:val="BodyText"/>
      </w:pPr>
      <w:r>
        <w:t xml:space="preserve">© 2023 Physiotherapy Board of New Zealand.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New Zealand Auckland</dc:title>
  <dc:creator/>
  <dc:language>en</dc:language>
  <cp:keywords/>
  <dcterms:created xsi:type="dcterms:W3CDTF">2026-10-10T05:52:48Z</dcterms:created>
  <dcterms:modified xsi:type="dcterms:W3CDTF">2026-10-10T05:52:48Z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