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7" w:name="peer-review-report"/>
    <w:p>
      <w:pPr>
        <w:pStyle w:val="Heading1"/>
      </w:pPr>
      <w:r>
        <w:t xml:space="preserve">Peer Review Report</w:t>
      </w:r>
    </w:p>
    <w:p>
      <w:pPr>
        <w:pStyle w:val="FirstParagraph"/>
      </w:pPr>
      <w:r>
        <w:t xml:space="preserve">Assessment of Political Leadership and Governance Efficacy</w:t>
      </w:r>
    </w:p>
    <w:p>
      <w:pPr>
        <w:pStyle w:val="BodyText"/>
      </w:pPr>
      <w:r>
        <w:rPr>
          <w:bCs/>
          <w:b/>
        </w:rPr>
        <w:t xml:space="preserve">Date of Report:</w:t>
      </w:r>
      <w:r>
        <w:t xml:space="preserve"> </w:t>
      </w:r>
      <w:r>
        <w:t xml:space="preserve">October 24, 2023</w:t>
      </w:r>
    </w:p>
    <w:p>
      <w:pPr>
        <w:pStyle w:val="BodyText"/>
      </w:pPr>
      <w:r>
        <w:rPr>
          <w:bCs/>
          <w:b/>
        </w:rPr>
        <w:t xml:space="preserve">Subject:</w:t>
      </w:r>
      <w:r>
        <w:t xml:space="preserve"> </w:t>
      </w:r>
      <w:r>
        <w:t xml:space="preserve">Performance Evaluation of a Senior Politician</w:t>
      </w:r>
    </w:p>
    <w:p>
      <w:pPr>
        <w:pStyle w:val="BodyText"/>
      </w:pPr>
      <w:r>
        <w:rPr>
          <w:bCs/>
          <w:b/>
        </w:rPr>
        <w:t xml:space="preserve">Location of Jurisdiction:</w:t>
      </w:r>
      <w:r>
        <w:t xml:space="preserve"> </w:t>
      </w:r>
      <w:r>
        <w:t xml:space="preserve">Bangladesh Dhaka</w:t>
      </w:r>
    </w:p>
    <w:p>
      <w:pPr>
        <w:pStyle w:val="BodyText"/>
      </w:pPr>
      <w:r>
        <w:rPr>
          <w:bCs/>
          <w:b/>
        </w:rPr>
        <w:t xml:space="preserve">Review Panel:</w:t>
      </w:r>
      <w:r>
        <w:t xml:space="preserve"> </w:t>
      </w:r>
      <w:r>
        <w:t xml:space="preserve">Independent Civic Oversight Committee</w:t>
      </w:r>
    </w:p>
    <w:p>
      <w:pPr>
        <w:pStyle w:val="BodyText"/>
      </w:pPr>
      <w:r>
        <w:rPr>
          <w:bCs/>
          <w:b/>
        </w:rPr>
        <w:t xml:space="preserve">Classification:</w:t>
      </w:r>
      <w:r>
        <w:t xml:space="preserve"> </w:t>
      </w:r>
      <w:r>
        <w:t xml:space="preserve">Public Interest / Confidential Draft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administrative performance, ethical standing, and public service delivery of a prominent</w:t>
      </w:r>
      <w:r>
        <w:t xml:space="preserve"> </w:t>
      </w:r>
      <w:r>
        <w:rPr>
          <w:bCs/>
          <w:b/>
        </w:rPr>
        <w:t xml:space="preserve">Politician</w:t>
      </w:r>
      <w:r>
        <w:t xml:space="preserve"> </w:t>
      </w:r>
      <w:r>
        <w:t xml:space="preserve">operating within the capital city of</w:t>
      </w:r>
      <w:r>
        <w:t xml:space="preserve"> </w:t>
      </w:r>
      <w:r>
        <w:rPr>
          <w:bCs/>
          <w:b/>
        </w:rPr>
        <w:t xml:space="preserve">Bangladesh Dhaka</w:t>
      </w:r>
      <w:r>
        <w:t xml:space="preserve">. The objective of this review is to provide a comprehensive, unbiased analysis of the subject's impact on local governance, infrastructure development, and social welfare initiatives. Given the rapid urbanization and complex socio-economic landscape of Dhaka, the role of a politician in this region is critical. This document assesses whether the subject has met the expectations of their constituents and adhered to the standards of democratic accountability.</w:t>
      </w:r>
    </w:p>
    <w:bookmarkEnd w:id="20"/>
    <w:bookmarkStart w:id="21" w:name="introduction-and-scope"/>
    <w:p>
      <w:pPr>
        <w:pStyle w:val="Heading2"/>
      </w:pPr>
      <w:r>
        <w:t xml:space="preserve">2. Introduction and Scope</w:t>
      </w:r>
    </w:p>
    <w:p>
      <w:pPr>
        <w:pStyle w:val="FirstParagraph"/>
      </w:pPr>
      <w:r>
        <w:t xml:space="preserve">The political landscape of</w:t>
      </w:r>
      <w:r>
        <w:t xml:space="preserve"> </w:t>
      </w:r>
      <w:r>
        <w:rPr>
          <w:bCs/>
          <w:b/>
        </w:rPr>
        <w:t xml:space="preserve">Bangladesh Dhaka</w:t>
      </w:r>
      <w:r>
        <w:t xml:space="preserve"> </w:t>
      </w:r>
      <w:r>
        <w:t xml:space="preserve">is characterized by high population density, intense economic activity, and significant infrastructural challenges. A</w:t>
      </w:r>
      <w:r>
        <w:t xml:space="preserve"> </w:t>
      </w:r>
      <w:r>
        <w:rPr>
          <w:bCs/>
          <w:b/>
        </w:rPr>
        <w:t xml:space="preserve">Politician</w:t>
      </w:r>
      <w:r>
        <w:t xml:space="preserve"> </w:t>
      </w:r>
      <w:r>
        <w:t xml:space="preserve">serving in this capacity is expected to navigate these complexities with transparency and efficiency. This</w:t>
      </w:r>
      <w:r>
        <w:t xml:space="preserve"> </w:t>
      </w:r>
      <w:r>
        <w:rPr>
          <w:bCs/>
          <w:b/>
        </w:rPr>
        <w:t xml:space="preserve">Peer Review Report</w:t>
      </w:r>
      <w:r>
        <w:t xml:space="preserve"> </w:t>
      </w:r>
      <w:r>
        <w:t xml:space="preserve">focuses on three primary areas: legislative effectiveness, constituency service, and ethical conduct. The review period covers the last two fiscal years, analyzing data from municipal records, public feedback mechanisms, and independent audits.</w:t>
      </w:r>
    </w:p>
    <w:p>
      <w:pPr>
        <w:pStyle w:val="BodyText"/>
      </w:pPr>
      <w:r>
        <w:t xml:space="preserve">The scope of this review is strictly limited to the professional conduct and policy outcomes associated with the subject's tenure. It does not delve into personal matters unless they directly impact public trust or governance capabilities. The methodology employed includes stakeholder interviews, analysis of budget allocation in Dhaka districts, and comparative performance metrics against national standards.</w:t>
      </w:r>
    </w:p>
    <w:bookmarkEnd w:id="21"/>
    <w:bookmarkStart w:id="22" w:name="X9c331bcc9ced8b5fed4ffcdadd4030401564792"/>
    <w:p>
      <w:pPr>
        <w:pStyle w:val="Heading2"/>
      </w:pPr>
      <w:r>
        <w:t xml:space="preserve">3. Assessment of Governance and Policy Implementation</w:t>
      </w:r>
    </w:p>
    <w:p>
      <w:pPr>
        <w:pStyle w:val="FirstParagraph"/>
      </w:pPr>
      <w:r>
        <w:t xml:space="preserve">One of the primary responsibilities of a</w:t>
      </w:r>
      <w:r>
        <w:t xml:space="preserve"> </w:t>
      </w:r>
      <w:r>
        <w:rPr>
          <w:bCs/>
          <w:b/>
        </w:rPr>
        <w:t xml:space="preserve">Politician</w:t>
      </w:r>
      <w:r>
        <w:t xml:space="preserve"> </w:t>
      </w:r>
      <w:r>
        <w:t xml:space="preserve">in</w:t>
      </w:r>
      <w:r>
        <w:t xml:space="preserve"> </w:t>
      </w:r>
      <w:r>
        <w:rPr>
          <w:bCs/>
          <w:b/>
        </w:rPr>
        <w:t xml:space="preserve">Bangladesh Dhaka</w:t>
      </w:r>
      <w:r>
        <w:t xml:space="preserve"> </w:t>
      </w:r>
      <w:r>
        <w:t xml:space="preserve">is the facilitation of urban development projects. This</w:t>
      </w:r>
      <w:r>
        <w:t xml:space="preserve"> </w:t>
      </w:r>
      <w:r>
        <w:rPr>
          <w:bCs/>
          <w:b/>
        </w:rPr>
        <w:t xml:space="preserve">Peer Review Report</w:t>
      </w:r>
      <w:r>
        <w:t xml:space="preserve"> </w:t>
      </w:r>
      <w:r>
        <w:t xml:space="preserve">notes that the subject has been actively involved in advocating for improved traffic management solutions and flood mitigation strategies. Dhaka faces perennial challenges regarding waterlogging during the monsoon season. The subject's committee work has shown a moderate level of success in pushing for drainage upgrades in specific wards.</w:t>
      </w:r>
    </w:p>
    <w:p>
      <w:pPr>
        <w:pStyle w:val="BodyText"/>
      </w:pPr>
      <w:r>
        <w:t xml:space="preserve">However, the report identifies gaps in the execution phase. While policy proposals are often robust, the translation of these policies into tangible results on the ground remains inconsistent. The peer reviewers observed that coordination between the politician's office and local municipal bodies (City Corporations) could be strengthened. Effective governance in Dhaka requires seamless collaboration between national representatives and local administrators to address issues such as waste management and housing for the urban poor.</w:t>
      </w:r>
    </w:p>
    <w:bookmarkEnd w:id="22"/>
    <w:bookmarkStart w:id="23" w:name="Xd378336852e20643a0a3c32a076de38688c4ef0"/>
    <w:p>
      <w:pPr>
        <w:pStyle w:val="Heading2"/>
      </w:pPr>
      <w:r>
        <w:t xml:space="preserve">4. Constituency Engagement and Responsiveness</w:t>
      </w:r>
    </w:p>
    <w:p>
      <w:pPr>
        <w:pStyle w:val="FirstParagraph"/>
      </w:pPr>
      <w:r>
        <w:t xml:space="preserve">A critical metric for evaluating any</w:t>
      </w:r>
      <w:r>
        <w:t xml:space="preserve"> </w:t>
      </w:r>
      <w:r>
        <w:rPr>
          <w:bCs/>
          <w:b/>
        </w:rPr>
        <w:t xml:space="preserve">Politician</w:t>
      </w:r>
      <w:r>
        <w:t xml:space="preserve"> </w:t>
      </w:r>
      <w:r>
        <w:t xml:space="preserve">is their accessibility to the electorate. In the context of</w:t>
      </w:r>
      <w:r>
        <w:t xml:space="preserve"> </w:t>
      </w:r>
      <w:r>
        <w:rPr>
          <w:bCs/>
          <w:b/>
        </w:rPr>
        <w:t xml:space="preserve">Bangladesh Dhaka</w:t>
      </w:r>
      <w:r>
        <w:t xml:space="preserve">, where the electorate is diverse and vocal, responsiveness is paramount. This</w:t>
      </w:r>
      <w:r>
        <w:t xml:space="preserve"> </w:t>
      </w:r>
      <w:r>
        <w:rPr>
          <w:bCs/>
          <w:b/>
        </w:rPr>
        <w:t xml:space="preserve">Peer Review Report</w:t>
      </w:r>
      <w:r>
        <w:t xml:space="preserve"> </w:t>
      </w:r>
      <w:r>
        <w:t xml:space="preserve">highlights that the subject maintains a regular schedule of town hall meetings and constituency clinics. Feedback from these sessions indicates that the politician is generally approachable and attentive to the grievances of residents regarding electricity outages, water supply, and law and order.</w:t>
      </w:r>
    </w:p>
    <w:p>
      <w:pPr>
        <w:pStyle w:val="BodyText"/>
      </w:pPr>
      <w:r>
        <w:t xml:space="preserve">Nevertheless, the report suggests that the feedback loop is not always closed. While constituents feel heard, there is a lack of transparent communication regarding the status of their complaints. To improve, the subject should implement a digital tracking system for constituency issues, allowing citizens to monitor the progress of their requests. This would align with the modernization goals of the government and enhance trust in the political process.</w:t>
      </w:r>
    </w:p>
    <w:bookmarkEnd w:id="23"/>
    <w:bookmarkStart w:id="24" w:name="ethical-conduct-and-transparency"/>
    <w:p>
      <w:pPr>
        <w:pStyle w:val="Heading2"/>
      </w:pPr>
      <w:r>
        <w:t xml:space="preserve">5. Ethical Conduct and Transparency</w:t>
      </w:r>
    </w:p>
    <w:p>
      <w:pPr>
        <w:pStyle w:val="FirstParagraph"/>
      </w:pPr>
      <w:r>
        <w:t xml:space="preserve">Integrity is the cornerstone of public service. This</w:t>
      </w:r>
      <w:r>
        <w:t xml:space="preserve"> </w:t>
      </w:r>
      <w:r>
        <w:rPr>
          <w:bCs/>
          <w:b/>
        </w:rPr>
        <w:t xml:space="preserve">Peer Review Report</w:t>
      </w:r>
      <w:r>
        <w:t xml:space="preserve"> </w:t>
      </w:r>
      <w:r>
        <w:t xml:space="preserve">scrutinizes the ethical conduct of the</w:t>
      </w:r>
      <w:r>
        <w:t xml:space="preserve"> </w:t>
      </w:r>
      <w:r>
        <w:rPr>
          <w:bCs/>
          <w:b/>
        </w:rPr>
        <w:t xml:space="preserve">Politician</w:t>
      </w:r>
      <w:r>
        <w:t xml:space="preserve"> </w:t>
      </w:r>
      <w:r>
        <w:t xml:space="preserve">in accordance with the Code of Conduct for Members of Parliament in Bangladesh. The review found no major instances of corruption or misuse of public funds directly attributable to the subject during the review period. Financial disclosures appear to be filed in a timely manner.</w:t>
      </w:r>
    </w:p>
    <w:p>
      <w:pPr>
        <w:pStyle w:val="BodyText"/>
      </w:pPr>
      <w:r>
        <w:t xml:space="preserve">However, the report notes the importance of maintaining strict boundaries between political influence and administrative decisions. In a bustling metropolis like</w:t>
      </w:r>
      <w:r>
        <w:t xml:space="preserve"> </w:t>
      </w:r>
      <w:r>
        <w:rPr>
          <w:bCs/>
          <w:b/>
        </w:rPr>
        <w:t xml:space="preserve">Bangladesh Dhaka</w:t>
      </w:r>
      <w:r>
        <w:t xml:space="preserve">, the temptation to intervene in bureaucratic processes for personal or partisan gain is high. The peer reviewers recommend that the subject continue to uphold high ethical standards and encourage their staff and associates to do the same. Transparency in the allocation of development funds is essential to prevent allegations of nepotism or favoritism.</w:t>
      </w:r>
    </w:p>
    <w:bookmarkEnd w:id="24"/>
    <w:bookmarkStart w:id="25"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Politician</w:t>
      </w:r>
      <w:r>
        <w:t xml:space="preserve"> </w:t>
      </w:r>
      <w:r>
        <w:t xml:space="preserve">to enhance their effectiveness in</w:t>
      </w:r>
      <w:r>
        <w:t xml:space="preserve"> </w:t>
      </w:r>
      <w:r>
        <w:rPr>
          <w:bCs/>
          <w:b/>
        </w:rPr>
        <w:t xml:space="preserve">Bangladesh Dhaka</w:t>
      </w:r>
      <w:r>
        <w:t xml:space="preserve">:</w:t>
      </w:r>
    </w:p>
    <w:p>
      <w:pPr>
        <w:numPr>
          <w:ilvl w:val="0"/>
          <w:numId w:val="1001"/>
        </w:numPr>
        <w:pStyle w:val="Compact"/>
      </w:pPr>
      <w:r>
        <w:rPr>
          <w:bCs/>
          <w:b/>
        </w:rPr>
        <w:t xml:space="preserve">Enhance Digital Governance:</w:t>
      </w:r>
      <w:r>
        <w:t xml:space="preserve"> </w:t>
      </w:r>
      <w:r>
        <w:t xml:space="preserve">Adopt technology-driven tools for constituency service delivery to improve efficiency and transparency.</w:t>
      </w:r>
    </w:p>
    <w:p>
      <w:pPr>
        <w:numPr>
          <w:ilvl w:val="0"/>
          <w:numId w:val="1001"/>
        </w:numPr>
        <w:pStyle w:val="Compact"/>
      </w:pPr>
      <w:r>
        <w:rPr>
          <w:bCs/>
          <w:b/>
        </w:rPr>
        <w:t xml:space="preserve">Strengthen Inter-Agency Collaboration:</w:t>
      </w:r>
      <w:r>
        <w:t xml:space="preserve"> </w:t>
      </w:r>
      <w:r>
        <w:t xml:space="preserve">Foster better working relationships with the Dhaka North and South City Corporations to ensure smoother implementation of development projects.</w:t>
      </w:r>
    </w:p>
    <w:p>
      <w:pPr>
        <w:numPr>
          <w:ilvl w:val="0"/>
          <w:numId w:val="1001"/>
        </w:numPr>
        <w:pStyle w:val="Compact"/>
      </w:pPr>
      <w:r>
        <w:rPr>
          <w:bCs/>
          <w:b/>
        </w:rPr>
        <w:t xml:space="preserve">Focus on Sustainable Urban Planning:</w:t>
      </w:r>
      <w:r>
        <w:t xml:space="preserve"> </w:t>
      </w:r>
      <w:r>
        <w:t xml:space="preserve">Prioritize long-term environmental sustainability in policy advocacy, addressing air quality and green spaces in Dhaka.</w:t>
      </w:r>
    </w:p>
    <w:p>
      <w:pPr>
        <w:numPr>
          <w:ilvl w:val="0"/>
          <w:numId w:val="1001"/>
        </w:numPr>
        <w:pStyle w:val="Compact"/>
      </w:pPr>
      <w:r>
        <w:rPr>
          <w:bCs/>
          <w:b/>
        </w:rPr>
        <w:t xml:space="preserve">Inclusive Representation:</w:t>
      </w:r>
      <w:r>
        <w:t xml:space="preserve"> </w:t>
      </w:r>
      <w:r>
        <w:t xml:space="preserve">Ensure that marginalized communities, including the urban poor and women, are adequately represented in decision-making forums.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provides a balanced assessment of the</w:t>
      </w:r>
      <w:r>
        <w:t xml:space="preserve"> </w:t>
      </w:r>
      <w:r>
        <w:rPr>
          <w:bCs/>
          <w:b/>
        </w:rPr>
        <w:t xml:space="preserve">Politician</w:t>
      </w:r>
      <w:r>
        <w:t xml:space="preserve">'s performance in</w:t>
      </w:r>
      <w:r>
        <w:t xml:space="preserve"> </w:t>
      </w:r>
      <w:r>
        <w:rPr>
          <w:bCs/>
          <w:b/>
        </w:rPr>
        <w:t xml:space="preserve">Bangladesh Dhaka</w:t>
      </w:r>
      <w:r>
        <w:t xml:space="preserve">. While there are commendable efforts in constituency engagement and policy advocacy, there is significant room for improvement in execution and transparency. The dynamic nature of Dhaka demands a proactive, ethical, and highly responsive leadership style. By implementing the recommendations outlined in this report, the subject can strengthen their governance capabilities and better serve the people of the capital.</w:t>
      </w:r>
    </w:p>
    <w:p>
      <w:pPr>
        <w:pStyle w:val="BodyText"/>
      </w:pPr>
      <w:r>
        <w:rPr>
          <w:bCs/>
          <w:b/>
        </w:rPr>
        <w:t xml:space="preserve">Dr. A. Rahman</w:t>
      </w:r>
      <w:r>
        <w:br/>
      </w:r>
      <w:r>
        <w:t xml:space="preserve">Lead Reviewer</w:t>
      </w:r>
      <w:r>
        <w:br/>
      </w:r>
      <w:r>
        <w:t xml:space="preserve">Independent Civic Oversight Committee</w:t>
      </w:r>
    </w:p>
    <w:p>
      <w:pPr>
        <w:pStyle w:val="BodyText"/>
      </w:pPr>
      <w:r>
        <w:rPr>
          <w:bCs/>
          <w:b/>
        </w:rPr>
        <w:t xml:space="preserve">Ms. S. Akter</w:t>
      </w:r>
      <w:r>
        <w:br/>
      </w:r>
      <w:r>
        <w:t xml:space="preserve">Senior Analyst</w:t>
      </w:r>
      <w:r>
        <w:br/>
      </w:r>
      <w:r>
        <w:t xml:space="preserve">Urban Governance Division</w:t>
      </w:r>
    </w:p>
    <w:p>
      <w:pPr>
        <w:pStyle w:val="BodyText"/>
      </w:pPr>
      <w:r>
        <w:t xml:space="preserve">This document is the property of the Independent Civic Oversight Committee. Unauthorized distribution is prohibited. Generated for Peer Review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2026-10-10T05:54:40Z</dcterms:created>
  <dcterms:modified xsi:type="dcterms:W3CDTF">2026-10-10T05:54:40Z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