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performance, integrity, and effectiveness of a Politician operating within the jurisdiction of Canada Montreal. The purpose of this review is to provide an objective assessment based on established criteria, including transparency, accountability, policy impact, and public engagement. The findings of this report are intended to inform stakeholders, including constituents, fellow policymakers, and oversight bodies, about the Politician's contributions and areas for improvement.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past two years, focusing on their role in local governance, legislative initiatives, and community engagement within Canada Montreal. The methodology includes a comprehensive analysis of public records, policy documents, media reports, and feedback from constituents and colleagues. Additionally, interviews with key stakeholders and a review of performance metrics were conducted to ensure a well-rounded evaluation.</w:t>
      </w:r>
    </w:p>
    <w:bookmarkEnd w:id="22"/>
    <w:bookmarkStart w:id="23" w:name="evaluation-criteria"/>
    <w:p>
      <w:pPr>
        <w:pStyle w:val="Heading2"/>
      </w:pPr>
      <w:r>
        <w:t xml:space="preserve">3. Evaluation Criteria</w:t>
      </w:r>
    </w:p>
    <w:p>
      <w:pPr>
        <w:pStyle w:val="FirstParagraph"/>
      </w:pPr>
      <w:r>
        <w:t xml:space="preserve">The Politician was assessed based on the following criteria:</w:t>
      </w:r>
    </w:p>
    <w:p>
      <w:pPr>
        <w:numPr>
          <w:ilvl w:val="0"/>
          <w:numId w:val="1001"/>
        </w:numPr>
        <w:pStyle w:val="Compact"/>
      </w:pPr>
      <w:r>
        <w:rPr>
          <w:bCs/>
          <w:b/>
        </w:rPr>
        <w:t xml:space="preserve">Transparency:</w:t>
      </w:r>
      <w:r>
        <w:t xml:space="preserve"> </w:t>
      </w:r>
      <w:r>
        <w:t xml:space="preserve">Clarity and openness in decision-making processes.</w:t>
      </w:r>
    </w:p>
    <w:p>
      <w:pPr>
        <w:numPr>
          <w:ilvl w:val="0"/>
          <w:numId w:val="1001"/>
        </w:numPr>
        <w:pStyle w:val="Compact"/>
      </w:pPr>
      <w:r>
        <w:rPr>
          <w:bCs/>
          <w:b/>
        </w:rPr>
        <w:t xml:space="preserve">Accountability:</w:t>
      </w:r>
      <w:r>
        <w:t xml:space="preserve"> </w:t>
      </w:r>
      <w:r>
        <w:t xml:space="preserve">Responsiveness to constituents and adherence to ethical standards.</w:t>
      </w:r>
    </w:p>
    <w:p>
      <w:pPr>
        <w:numPr>
          <w:ilvl w:val="0"/>
          <w:numId w:val="1001"/>
        </w:numPr>
        <w:pStyle w:val="Compact"/>
      </w:pPr>
      <w:r>
        <w:rPr>
          <w:bCs/>
          <w:b/>
        </w:rPr>
        <w:t xml:space="preserve">Policy Impact:</w:t>
      </w:r>
      <w:r>
        <w:t xml:space="preserve"> </w:t>
      </w:r>
      <w:r>
        <w:t xml:space="preserve">Effectiveness of legislative and administrative actions.</w:t>
      </w:r>
    </w:p>
    <w:p>
      <w:pPr>
        <w:numPr>
          <w:ilvl w:val="0"/>
          <w:numId w:val="1001"/>
        </w:numPr>
        <w:pStyle w:val="Compact"/>
      </w:pPr>
      <w:r>
        <w:rPr>
          <w:bCs/>
          <w:b/>
        </w:rPr>
        <w:t xml:space="preserve">Public Engagement:</w:t>
      </w:r>
      <w:r>
        <w:t xml:space="preserve"> </w:t>
      </w:r>
      <w:r>
        <w:t xml:space="preserve">Efforts to involve and communicate with the community.</w:t>
      </w:r>
    </w:p>
    <w:p>
      <w:pPr>
        <w:numPr>
          <w:ilvl w:val="0"/>
          <w:numId w:val="1001"/>
        </w:numPr>
        <w:pStyle w:val="Compact"/>
      </w:pPr>
      <w:r>
        <w:rPr>
          <w:bCs/>
          <w:b/>
        </w:rPr>
        <w:t xml:space="preserve">Collaboration:</w:t>
      </w:r>
      <w:r>
        <w:t xml:space="preserve"> </w:t>
      </w:r>
      <w:r>
        <w:t xml:space="preserve">Ability to work with other stakeholders and political entities.</w:t>
      </w:r>
    </w:p>
    <w:bookmarkEnd w:id="23"/>
    <w:bookmarkStart w:id="29" w:name="findings"/>
    <w:p>
      <w:pPr>
        <w:pStyle w:val="Heading2"/>
      </w:pPr>
      <w:r>
        <w:t xml:space="preserve">4. Findings</w:t>
      </w:r>
    </w:p>
    <w:bookmarkStart w:id="24" w:name="transparency"/>
    <w:p>
      <w:pPr>
        <w:pStyle w:val="Heading3"/>
      </w:pPr>
      <w:r>
        <w:t xml:space="preserve">4.1 Transparency</w:t>
      </w:r>
    </w:p>
    <w:p>
      <w:pPr>
        <w:pStyle w:val="FirstParagraph"/>
      </w:pPr>
      <w:r>
        <w:t xml:space="preserve">The Politician has demonstrated a commendable level of transparency in their operations. Regular updates on legislative activities and financial disclosures have been made available to the public. However, there are areas where greater detail could be provided, particularly in complex policy decisions that affect multiple sectors within Canada Montreal.</w:t>
      </w:r>
    </w:p>
    <w:bookmarkEnd w:id="24"/>
    <w:bookmarkStart w:id="25" w:name="accountability"/>
    <w:p>
      <w:pPr>
        <w:pStyle w:val="Heading3"/>
      </w:pPr>
      <w:r>
        <w:t xml:space="preserve">4.2 Accountability</w:t>
      </w:r>
    </w:p>
    <w:p>
      <w:pPr>
        <w:pStyle w:val="FirstParagraph"/>
      </w:pPr>
      <w:r>
        <w:t xml:space="preserve">Accountability has been a strong point for the Politician. They have consistently responded to constituent inquiries and have taken responsibility for policy outcomes. Instances of ethical lapses have been minimal, and when they occurred, they were addressed promptly and transparently.</w:t>
      </w:r>
    </w:p>
    <w:bookmarkEnd w:id="25"/>
    <w:bookmarkStart w:id="26" w:name="policy-impact"/>
    <w:p>
      <w:pPr>
        <w:pStyle w:val="Heading3"/>
      </w:pPr>
      <w:r>
        <w:t xml:space="preserve">4.3 Policy Impact</w:t>
      </w:r>
    </w:p>
    <w:p>
      <w:pPr>
        <w:pStyle w:val="FirstParagraph"/>
      </w:pPr>
      <w:r>
        <w:t xml:space="preserve">The Politician's policy initiatives have had a measurable impact on various aspects of life in Canada Montreal. Notable achievements include improvements in public transportation, housing affordability measures, and environmental sustainability programs. However, some initiatives have faced criticism for slow implementation or insufficient funding.</w:t>
      </w:r>
    </w:p>
    <w:bookmarkEnd w:id="26"/>
    <w:bookmarkStart w:id="27" w:name="public-engagement"/>
    <w:p>
      <w:pPr>
        <w:pStyle w:val="Heading3"/>
      </w:pPr>
      <w:r>
        <w:t xml:space="preserve">4.4 Public Engagement</w:t>
      </w:r>
    </w:p>
    <w:p>
      <w:pPr>
        <w:pStyle w:val="FirstParagraph"/>
      </w:pPr>
      <w:r>
        <w:t xml:space="preserve">Public engagement efforts have been robust, with the Politician actively participating in community forums, town hall meetings, and digital platforms. Feedback mechanisms are in place, and the Politician has shown a willingness to incorporate public input into policy decisions. Nevertheless, there is room for improvement in reaching underrepresented communities.</w:t>
      </w:r>
    </w:p>
    <w:bookmarkEnd w:id="27"/>
    <w:bookmarkStart w:id="28" w:name="collaboration"/>
    <w:p>
      <w:pPr>
        <w:pStyle w:val="Heading3"/>
      </w:pPr>
      <w:r>
        <w:t xml:space="preserve">4.5 Collaboration</w:t>
      </w:r>
    </w:p>
    <w:p>
      <w:pPr>
        <w:pStyle w:val="FirstParagraph"/>
      </w:pPr>
      <w:r>
        <w:t xml:space="preserve">The Politician has demonstrated a collaborative approach, working effectively with other political entities, community organizations, and business leaders. This has facilitated the passage of several key policies and initiatives. However, there have been instances where partisan differences have hindered progress on certain issues.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transparency by providing more detailed explanations for complex policy decisions.</w:t>
      </w:r>
    </w:p>
    <w:p>
      <w:pPr>
        <w:numPr>
          <w:ilvl w:val="0"/>
          <w:numId w:val="1002"/>
        </w:numPr>
        <w:pStyle w:val="Compact"/>
      </w:pPr>
      <w:r>
        <w:t xml:space="preserve">Strengthen accountability mechanisms by establishing regular performance reviews and public reporting.</w:t>
      </w:r>
    </w:p>
    <w:p>
      <w:pPr>
        <w:numPr>
          <w:ilvl w:val="0"/>
          <w:numId w:val="1002"/>
        </w:numPr>
        <w:pStyle w:val="Compact"/>
      </w:pPr>
      <w:r>
        <w:t xml:space="preserve">Accelerate the implementation of key policy initiatives and ensure adequate funding.</w:t>
      </w:r>
    </w:p>
    <w:p>
      <w:pPr>
        <w:numPr>
          <w:ilvl w:val="0"/>
          <w:numId w:val="1002"/>
        </w:numPr>
        <w:pStyle w:val="Compact"/>
      </w:pPr>
      <w:r>
        <w:t xml:space="preserve">Expand public engagement efforts to include underrepresented communities and utilize diverse communication channels.</w:t>
      </w:r>
    </w:p>
    <w:p>
      <w:pPr>
        <w:numPr>
          <w:ilvl w:val="0"/>
          <w:numId w:val="1002"/>
        </w:numPr>
        <w:pStyle w:val="Compact"/>
      </w:pPr>
      <w:r>
        <w:t xml:space="preserve">Foster greater collaboration across political lines to address contentious issues and promote consensus.</w:t>
      </w:r>
    </w:p>
    <w:bookmarkEnd w:id="30"/>
    <w:bookmarkStart w:id="31" w:name="conclusion"/>
    <w:p>
      <w:pPr>
        <w:pStyle w:val="Heading2"/>
      </w:pPr>
      <w:r>
        <w:t xml:space="preserve">6. Conclusion</w:t>
      </w:r>
    </w:p>
    <w:p>
      <w:pPr>
        <w:pStyle w:val="FirstParagraph"/>
      </w:pPr>
      <w:r>
        <w:t xml:space="preserve">This Peer Review Report provides a comprehensive evaluation of the Politician's performance in Canada Montreal. While there are areas for improvement, the Politician has demonstrated a strong commitment to transparency, accountability, and public service. By addressing the recommendations outlined in this report, the Politician can further enhance their effectiveness and continue to serve the interests of the community.</w:t>
      </w:r>
    </w:p>
    <w:bookmarkEnd w:id="31"/>
    <w:p>
      <w:pPr>
        <w:pStyle w:val="BodyText"/>
      </w:pPr>
      <w:r>
        <w:rPr>
          <w:bCs/>
          <w:b/>
        </w:rPr>
        <w:t xml:space="preserve">Disclaimer:</w:t>
      </w:r>
      <w:r>
        <w:t xml:space="preserve"> </w:t>
      </w:r>
      <w:r>
        <w:t xml:space="preserve">This report is based on publicly available information and stakeholder feedback. It is intended for informational purposes and does not constitute legal or professional advice.</w:t>
      </w:r>
    </w:p>
    <w:p>
      <w:pPr>
        <w:pStyle w:val="BodyText"/>
      </w:pPr>
      <w:r>
        <w:rPr>
          <w:bCs/>
          <w:b/>
        </w:rPr>
        <w:t xml:space="preserve">Contact:</w:t>
      </w:r>
      <w:r>
        <w:t xml:space="preserve"> </w:t>
      </w:r>
      <w:r>
        <w:t xml:space="preserve">For further information, please contact the Independent Review Committee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Canada Montreal</dc:title>
  <dc:creator/>
  <dc:language>en</dc:language>
  <cp:keywords/>
  <dcterms:created xsi:type="dcterms:W3CDTF">2026-10-10T02:44:34Z</dcterms:created>
  <dcterms:modified xsi:type="dcterms:W3CDTF">2026-10-10T02:44:34Z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