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t xml:space="preserve">Independent Assessment of Political Performance and Governance Standards</w:t>
      </w:r>
    </w:p>
    <w:bookmarkEnd w:id="20"/>
    <w:p>
      <w:pPr>
        <w:pStyle w:val="BodyText"/>
      </w:pPr>
      <w:r>
        <w:rPr>
          <w:bCs/>
          <w:b/>
        </w:rPr>
        <w:t xml:space="preserve">Subject:</w:t>
      </w:r>
      <w:r>
        <w:t xml:space="preserve"> </w:t>
      </w:r>
      <w:r>
        <w:t xml:space="preserve">Politician (Incumbent Member of the Abgeordnetenhaus)</w:t>
      </w:r>
    </w:p>
    <w:p>
      <w:pPr>
        <w:pStyle w:val="BodyText"/>
      </w:pPr>
      <w:r>
        <w:rPr>
          <w:bCs/>
          <w:b/>
        </w:rPr>
        <w:t xml:space="preserve">Location:</w:t>
      </w:r>
      <w:r>
        <w:t xml:space="preserve"> </w:t>
      </w:r>
      <w:r>
        <w:t xml:space="preserve">Germany Berlin (Senate District / Constituency)</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Civic Oversight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conduct, legislative effectiveness, and public service delivery of the subject</w:t>
      </w:r>
      <w:r>
        <w:t xml:space="preserve"> </w:t>
      </w:r>
      <w:r>
        <w:rPr>
          <w:bCs/>
          <w:b/>
        </w:rPr>
        <w:t xml:space="preserve">Politician</w:t>
      </w:r>
      <w:r>
        <w:t xml:space="preserve"> </w:t>
      </w:r>
      <w:r>
        <w:t xml:space="preserve">operating within the jurisdiction of</w:t>
      </w:r>
      <w:r>
        <w:t xml:space="preserve"> </w:t>
      </w:r>
      <w:r>
        <w:rPr>
          <w:bCs/>
          <w:b/>
        </w:rPr>
        <w:t xml:space="preserve">Germany Berlin</w:t>
      </w:r>
      <w:r>
        <w:t xml:space="preserve">. The review was conducted by a panel of independent experts, including urban planners, legal scholars, and civic engagement specialists, to assess alignment with democratic standards and local governance requirements.</w:t>
      </w:r>
    </w:p>
    <w:p>
      <w:pPr>
        <w:pStyle w:val="BodyText"/>
      </w:pPr>
      <w:r>
        <w:t xml:space="preserve">The assessment focuses on the Politician's ability to navigate the complex political landscape of Berlin, a city characterized by its unique status as both a municipality and a federal state (Stadtstaat). The review highlights significant achievements in digital infrastructure advocacy but identifies critical areas for improvement regarding transparency in coalition negotiations and responsiveness to constituent inquiries.</w:t>
      </w:r>
    </w:p>
    <w:bookmarkEnd w:id="21"/>
    <w:bookmarkStart w:id="24" w:name="Xc86094b3a67785393ab3a1681aaa10abf54b2f4"/>
    <w:p>
      <w:pPr>
        <w:pStyle w:val="Heading2"/>
      </w:pPr>
      <w:r>
        <w:t xml:space="preserve">2. Legislative Effectiveness and Policy Impact</w:t>
      </w:r>
    </w:p>
    <w:p>
      <w:pPr>
        <w:pStyle w:val="FirstParagraph"/>
      </w:pPr>
      <w:r>
        <w:t xml:space="preserve">In the context of</w:t>
      </w:r>
      <w:r>
        <w:t xml:space="preserve"> </w:t>
      </w:r>
      <w:r>
        <w:rPr>
          <w:bCs/>
          <w:b/>
        </w:rPr>
        <w:t xml:space="preserve">Germany Berlin</w:t>
      </w:r>
      <w:r>
        <w:t xml:space="preserve">, legislative success is measured not only by the passage of laws but by their practical implementation in a city facing housing shortages and infrastructure deficits. The</w:t>
      </w:r>
      <w:r>
        <w:t xml:space="preserve"> </w:t>
      </w:r>
      <w:r>
        <w:rPr>
          <w:bCs/>
          <w:b/>
        </w:rPr>
        <w:t xml:space="preserve">Politician</w:t>
      </w:r>
      <w:r>
        <w:t xml:space="preserve"> </w:t>
      </w:r>
      <w:r>
        <w:t xml:space="preserve">has demonstrated a moderate level of legislative effectiveness.</w:t>
      </w:r>
    </w:p>
    <w:bookmarkStart w:id="22" w:name="X9ab1ccf08235150eec1b18872227d77e6eef65f"/>
    <w:p>
      <w:pPr>
        <w:pStyle w:val="Heading3"/>
      </w:pPr>
      <w:r>
        <w:t xml:space="preserve">2.1 Housing Policy (Mietendeckel and Social Housing)</w:t>
      </w:r>
    </w:p>
    <w:p>
      <w:pPr>
        <w:pStyle w:val="FirstParagraph"/>
      </w:pPr>
      <w:r>
        <w:t xml:space="preserve">The Politician has been active in debates surrounding the Berlin housing crisis. While their rhetoric aligns with the protection of tenants' rights, the Peer Review Panel notes a lack of concrete legislative drafting contributions. The Politician frequently supports motions regarding the expansion of social housing (Sozialwohnungen) but has not introduced independent bills that have successfully passed the Abgeordnetenhaus.</w:t>
      </w:r>
    </w:p>
    <w:bookmarkEnd w:id="22"/>
    <w:bookmarkStart w:id="23" w:name="urban-mobility-and-sustainability"/>
    <w:p>
      <w:pPr>
        <w:pStyle w:val="Heading3"/>
      </w:pPr>
      <w:r>
        <w:t xml:space="preserve">2.2 Urban Mobility and Sustainability</w:t>
      </w:r>
    </w:p>
    <w:p>
      <w:pPr>
        <w:pStyle w:val="FirstParagraph"/>
      </w:pPr>
      <w:r>
        <w:t xml:space="preserve">A strong point of performance is observed in the area of urban mobility. The Politician has successfully advocated for the expansion of bicycle lanes in their specific constituency and supported the integration of the BVG (Berliner Verkehrsbetriebe) network with new micro-mobility solutions. This aligns well with Berlin's climate protection goals (Klimaschutzgesetz).</w:t>
      </w:r>
    </w:p>
    <w:bookmarkEnd w:id="23"/>
    <w:bookmarkEnd w:id="24"/>
    <w:bookmarkStart w:id="27" w:name="X3eac800ae76e5326331ea77a1272e6796817647"/>
    <w:p>
      <w:pPr>
        <w:pStyle w:val="Heading2"/>
      </w:pPr>
      <w:r>
        <w:t xml:space="preserve">3. Public Engagement and Constituency Service</w:t>
      </w:r>
    </w:p>
    <w:p>
      <w:pPr>
        <w:pStyle w:val="FirstParagraph"/>
      </w:pPr>
      <w:r>
        <w:t xml:space="preserve">A core duty of any</w:t>
      </w:r>
      <w:r>
        <w:t xml:space="preserve"> </w:t>
      </w:r>
      <w:r>
        <w:rPr>
          <w:bCs/>
          <w:b/>
        </w:rPr>
        <w:t xml:space="preserve">Politician</w:t>
      </w:r>
      <w:r>
        <w:t xml:space="preserve"> </w:t>
      </w:r>
      <w:r>
        <w:t xml:space="preserve">in</w:t>
      </w:r>
      <w:r>
        <w:t xml:space="preserve"> </w:t>
      </w:r>
      <w:r>
        <w:rPr>
          <w:bCs/>
          <w:b/>
        </w:rPr>
        <w:t xml:space="preserve">Germany Berlin</w:t>
      </w:r>
      <w:r>
        <w:t xml:space="preserve"> </w:t>
      </w:r>
      <w:r>
        <w:t xml:space="preserve">is maintaining a direct line of communication with the diverse population of the city. This section of the</w:t>
      </w:r>
      <w:r>
        <w:t xml:space="preserve"> </w:t>
      </w:r>
      <w:r>
        <w:rPr>
          <w:bCs/>
          <w:b/>
        </w:rPr>
        <w:t xml:space="preserve">Peer Review Report</w:t>
      </w:r>
      <w:r>
        <w:t xml:space="preserve"> </w:t>
      </w:r>
      <w:r>
        <w:t xml:space="preserve">evaluates accessibility and responsiveness.</w:t>
      </w:r>
    </w:p>
    <w:bookmarkStart w:id="25" w:name="X252b5e3ce9246fa2c552dd1f2b24289639753fe"/>
    <w:p>
      <w:pPr>
        <w:pStyle w:val="Heading3"/>
      </w:pPr>
      <w:r>
        <w:t xml:space="preserve">3.1 Bürgersprechstunde (Constituent Office Hours)</w:t>
      </w:r>
    </w:p>
    <w:p>
      <w:pPr>
        <w:pStyle w:val="FirstParagraph"/>
      </w:pPr>
      <w:r>
        <w:t xml:space="preserve">The Politician maintains regular office hours. However, feedback from constituents indicates that appointment slots are often booked weeks in advance, creating a barrier for urgent issues. The Peer Review Panel recommends implementing a digital triage system to handle non-urgent inquiries more efficiently, a practice already adopted by several other districts in Berlin.</w:t>
      </w:r>
    </w:p>
    <w:bookmarkEnd w:id="25"/>
    <w:bookmarkStart w:id="26" w:name="digital-presence-and-transparency"/>
    <w:p>
      <w:pPr>
        <w:pStyle w:val="Heading3"/>
      </w:pPr>
      <w:r>
        <w:t xml:space="preserve">3.2 Digital Presence and Transparency</w:t>
      </w:r>
    </w:p>
    <w:p>
      <w:pPr>
        <w:pStyle w:val="FirstParagraph"/>
      </w:pPr>
      <w:r>
        <w:t xml:space="preserve">The Politician's digital footprint is active but lacks depth. While social media channels are used for campaign messaging, they are less effective for substantive policy discussion. The Peer Review Report suggests that the Politician should publish more detailed summaries of their voting records and committee work to enhance trust and transparency.</w:t>
      </w:r>
    </w:p>
    <w:bookmarkEnd w:id="26"/>
    <w:bookmarkEnd w:id="27"/>
    <w:bookmarkStart w:id="28" w:name="ethical-conduct-and-compliance"/>
    <w:p>
      <w:pPr>
        <w:pStyle w:val="Heading2"/>
      </w:pPr>
      <w:r>
        <w:t xml:space="preserve">4. Ethical Conduct and Compliance</w:t>
      </w:r>
    </w:p>
    <w:p>
      <w:pPr>
        <w:pStyle w:val="FirstParagraph"/>
      </w:pPr>
      <w:r>
        <w:t xml:space="preserve">Adherence to the ethical standards set by the Abgeordnetenhaus of Berlin is paramount. The</w:t>
      </w:r>
      <w:r>
        <w:t xml:space="preserve"> </w:t>
      </w:r>
      <w:r>
        <w:rPr>
          <w:bCs/>
          <w:b/>
        </w:rPr>
        <w:t xml:space="preserve">Politician</w:t>
      </w:r>
      <w:r>
        <w:t xml:space="preserve"> </w:t>
      </w:r>
      <w:r>
        <w:t xml:space="preserve">has maintained a clean record regarding financial disclosures.</w:t>
      </w:r>
    </w:p>
    <w:p>
      <w:pPr>
        <w:numPr>
          <w:ilvl w:val="0"/>
          <w:numId w:val="1001"/>
        </w:numPr>
        <w:pStyle w:val="Compact"/>
      </w:pPr>
      <w:r>
        <w:rPr>
          <w:bCs/>
          <w:b/>
        </w:rPr>
        <w:t xml:space="preserve">Conflict of Interest:</w:t>
      </w:r>
      <w:r>
        <w:t xml:space="preserve"> </w:t>
      </w:r>
      <w:r>
        <w:t xml:space="preserve">No conflicts of interest were identified during the review period. The Politician has consistently recused themselves from votes where personal financial interests were present.</w:t>
      </w:r>
    </w:p>
    <w:p>
      <w:pPr>
        <w:numPr>
          <w:ilvl w:val="0"/>
          <w:numId w:val="1001"/>
        </w:numPr>
        <w:pStyle w:val="Compact"/>
      </w:pPr>
      <w:r>
        <w:rPr>
          <w:bCs/>
          <w:b/>
        </w:rPr>
        <w:t xml:space="preserve">Use of Public Funds:</w:t>
      </w:r>
      <w:r>
        <w:t xml:space="preserve"> </w:t>
      </w:r>
      <w:r>
        <w:t xml:space="preserve">The Politician's use of the "Wahlkampfkosten" (campaign funds) and office budget appears compliant with the Berlin State Election Law (Landeswahlgesetz).</w:t>
      </w:r>
    </w:p>
    <w:p>
      <w:pPr>
        <w:numPr>
          <w:ilvl w:val="0"/>
          <w:numId w:val="1001"/>
        </w:numPr>
        <w:pStyle w:val="Compact"/>
      </w:pPr>
      <w:r>
        <w:rPr>
          <w:bCs/>
          <w:b/>
        </w:rPr>
        <w:t xml:space="preserve">Code of Conduct:</w:t>
      </w:r>
      <w:r>
        <w:t xml:space="preserve"> </w:t>
      </w:r>
      <w:r>
        <w:t xml:space="preserve">The Politician has adhered to the parliamentary code of conduct, showing respect for opposing parties during debates, which is essential for the stability of the coalition government in Berlin.</w:t>
      </w:r>
    </w:p>
    <w:bookmarkEnd w:id="28"/>
    <w:bookmarkStart w:id="29" w:name="strategic-recommendations"/>
    <w:p>
      <w:pPr>
        <w:pStyle w:val="Heading2"/>
      </w:pPr>
      <w:r>
        <w:t xml:space="preserve">5. Strategic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the</w:t>
      </w:r>
      <w:r>
        <w:t xml:space="preserve"> </w:t>
      </w:r>
      <w:r>
        <w:rPr>
          <w:bCs/>
          <w:b/>
        </w:rPr>
        <w:t xml:space="preserve">Politician</w:t>
      </w:r>
      <w:r>
        <w:t xml:space="preserve"> </w:t>
      </w:r>
      <w:r>
        <w:t xml:space="preserve">to improve their performance in</w:t>
      </w:r>
      <w:r>
        <w:t xml:space="preserve"> </w:t>
      </w:r>
      <w:r>
        <w:rPr>
          <w:bCs/>
          <w:b/>
        </w:rPr>
        <w:t xml:space="preserve">Germany Berlin</w:t>
      </w:r>
      <w:r>
        <w:t xml:space="preserve">:</w:t>
      </w:r>
    </w:p>
    <w:p>
      <w:pPr>
        <w:numPr>
          <w:ilvl w:val="0"/>
          <w:numId w:val="1002"/>
        </w:numPr>
        <w:pStyle w:val="Compact"/>
      </w:pPr>
      <w:r>
        <w:rPr>
          <w:bCs/>
          <w:b/>
        </w:rPr>
        <w:t xml:space="preserve">Enhance Legislative Initiative:</w:t>
      </w:r>
      <w:r>
        <w:t xml:space="preserve"> </w:t>
      </w:r>
      <w:r>
        <w:t xml:space="preserve">Move beyond supporting existing motions to drafting original legislation, particularly in the areas of digitalization and education.</w:t>
      </w:r>
    </w:p>
    <w:p>
      <w:pPr>
        <w:numPr>
          <w:ilvl w:val="0"/>
          <w:numId w:val="1002"/>
        </w:numPr>
        <w:pStyle w:val="Compact"/>
      </w:pPr>
      <w:r>
        <w:rPr>
          <w:bCs/>
          <w:b/>
        </w:rPr>
        <w:t xml:space="preserve">Improve Accessibility:</w:t>
      </w:r>
      <w:r>
        <w:t xml:space="preserve"> </w:t>
      </w:r>
      <w:r>
        <w:t xml:space="preserve">Introduce a hybrid model for constituent services, combining physical office hours with secure digital consultation platforms.</w:t>
      </w:r>
    </w:p>
    <w:p>
      <w:pPr>
        <w:numPr>
          <w:ilvl w:val="0"/>
          <w:numId w:val="1002"/>
        </w:numPr>
        <w:pStyle w:val="Compact"/>
      </w:pPr>
      <w:r>
        <w:rPr>
          <w:bCs/>
          <w:b/>
        </w:rPr>
        <w:t xml:space="preserve">Strengthen Coalition Building:</w:t>
      </w:r>
      <w:r>
        <w:t xml:space="preserve"> </w:t>
      </w:r>
      <w:r>
        <w:t xml:space="preserve">Actively seek cross-party alliances on non-ideological issues such as infrastructure maintenance and public safety to demonstrate pragmatic governance.</w:t>
      </w:r>
    </w:p>
    <w:p>
      <w:pPr>
        <w:numPr>
          <w:ilvl w:val="0"/>
          <w:numId w:val="1002"/>
        </w:numPr>
        <w:pStyle w:val="Compact"/>
      </w:pPr>
      <w:r>
        <w:rPr>
          <w:bCs/>
          <w:b/>
        </w:rPr>
        <w:t xml:space="preserve">Transparency Reporting:</w:t>
      </w:r>
      <w:r>
        <w:t xml:space="preserve"> </w:t>
      </w:r>
      <w:r>
        <w:t xml:space="preserve">Publish a quarterly report detailing specific actions taken on behalf of constituents, providing tangible evidence of work done.</w:t>
      </w:r>
    </w:p>
    <w:bookmarkEnd w:id="29"/>
    <w:bookmarkStart w:id="30" w:name="final-assessment-scores"/>
    <w:p>
      <w:pPr>
        <w:pStyle w:val="Heading2"/>
      </w:pPr>
      <w:r>
        <w:t xml:space="preserve">6. Final Assessment Scores</w:t>
      </w:r>
    </w:p>
    <w:p>
      <w:pPr>
        <w:pStyle w:val="FirstParagraph"/>
      </w:pPr>
      <w:r>
        <w:t xml:space="preserve">Legislative Effectiveness</w:t>
      </w:r>
      <w:r>
        <w:t xml:space="preserve"> </w:t>
      </w:r>
      <w:r>
        <w:t xml:space="preserve">6.5 / 10</w:t>
      </w:r>
    </w:p>
    <w:p>
      <w:pPr>
        <w:pStyle w:val="BodyText"/>
      </w:pPr>
      <w:r>
        <w:t xml:space="preserve">Public Engagement</w:t>
      </w:r>
      <w:r>
        <w:t xml:space="preserve"> </w:t>
      </w:r>
      <w:r>
        <w:t xml:space="preserve">7.0 / 10</w:t>
      </w:r>
    </w:p>
    <w:p>
      <w:pPr>
        <w:pStyle w:val="BodyText"/>
      </w:pPr>
      <w:r>
        <w:t xml:space="preserve">Ethical Compliance</w:t>
      </w:r>
      <w:r>
        <w:t xml:space="preserve"> </w:t>
      </w:r>
      <w:r>
        <w:t xml:space="preserve">9.0 / 10</w:t>
      </w:r>
    </w:p>
    <w:p>
      <w:pPr>
        <w:pStyle w:val="BodyText"/>
      </w:pPr>
      <w:r>
        <w:t xml:space="preserve">Strategic Vision for Berlin</w:t>
      </w:r>
      <w:r>
        <w:t xml:space="preserve"> </w:t>
      </w:r>
      <w:r>
        <w:t xml:space="preserve">6.0 / 10</w:t>
      </w:r>
    </w:p>
    <w:p>
      <w:pPr>
        <w:pStyle w:val="BodyText"/>
      </w:pPr>
      <w:r>
        <w:rPr>
          <w:bCs/>
          <w:b/>
        </w:rPr>
        <w:t xml:space="preserve">Overall Peer Review Rating</w:t>
      </w:r>
      <w:r>
        <w:t xml:space="preserve"> </w:t>
      </w:r>
      <w:r>
        <w:rPr>
          <w:bCs/>
          <w:b/>
        </w:rPr>
        <w:t xml:space="preserve">7.1 / 10 (Satisfactory)</w:t>
      </w:r>
    </w:p>
    <w:p>
      <w:pPr>
        <w:pStyle w:val="BodyText"/>
      </w:pPr>
      <w:r>
        <w:rPr>
          <w:iCs/>
          <w:i/>
        </w:rPr>
        <w:t xml:space="preserve">This Peer Review Report is intended for internal improvement and public accountability purposes. It reflects the consensus of the review panel as of the date indicated above. The Politician is encouraged to address the recommendations to better serve the citizens of Germany Berlin.</w:t>
      </w:r>
    </w:p>
    <w:p>
      <w:pPr>
        <w:pStyle w:val="BodyText"/>
      </w:pPr>
      <w:r>
        <w:t xml:space="preserve">© 2023 Independent Civic Oversight Committee. All rights reserved.</w:t>
      </w:r>
    </w:p>
    <w:p>
      <w:pPr>
        <w:pStyle w:val="BodyText"/>
      </w:pPr>
      <w:r>
        <w:t xml:space="preserve">Document ID: PRR-BER-2023-0892</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 Germany Berlin</dc:title>
  <dc:creator/>
  <dc:language>en</dc:language>
  <cp:keywords/>
  <dcterms:created xsi:type="dcterms:W3CDTF">2026-10-10T09:35:47Z</dcterms:created>
  <dcterms:modified xsi:type="dcterms:W3CDTF">2026-10-10T09:35:47Z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