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Politician</w:t>
      </w:r>
      <w:r>
        <w:t xml:space="preserve"> </w:t>
      </w:r>
      <w:r>
        <w:t xml:space="preserve">Performance</w:t>
      </w:r>
      <w:r>
        <w:t xml:space="preserve"> </w:t>
      </w:r>
      <w:r>
        <w:t xml:space="preserve">Assessment</w:t>
      </w:r>
      <w:r>
        <w:t xml:space="preserve"> </w:t>
      </w:r>
      <w:r>
        <w:t xml:space="preserve">-</w:t>
      </w:r>
      <w:r>
        <w:t xml:space="preserve"> </w:t>
      </w:r>
      <w:r>
        <w:t xml:space="preserve">Indonesia</w:t>
      </w:r>
      <w:r>
        <w:t xml:space="preserve"> </w:t>
      </w:r>
      <w:r>
        <w:t xml:space="preserve">Jakarta</w:t>
      </w:r>
    </w:p>
    <w:bookmarkStart w:id="21" w:name="peer-review-report"/>
    <w:p>
      <w:pPr>
        <w:pStyle w:val="Heading1"/>
      </w:pPr>
      <w:r>
        <w:t xml:space="preserve">Peer Review Report</w:t>
      </w:r>
    </w:p>
    <w:bookmarkStart w:id="20" w:name="X2ea5dcc092e3795faa691c2fee9f057f6e81d57"/>
    <w:p>
      <w:pPr>
        <w:pStyle w:val="Heading2"/>
      </w:pPr>
      <w:r>
        <w:t xml:space="preserve">Performance and Accountability Assessment of a Politician in Indonesia Jakarta</w:t>
      </w:r>
    </w:p>
    <w:p>
      <w:pPr>
        <w:pStyle w:val="FirstParagraph"/>
      </w:pPr>
      <w:r>
        <w:t xml:space="preserve">Report ID:</w:t>
      </w:r>
      <w:r>
        <w:t xml:space="preserve"> </w:t>
      </w:r>
      <w:r>
        <w:t xml:space="preserve">PR-JKT-2023-089</w:t>
      </w:r>
    </w:p>
    <w:p>
      <w:pPr>
        <w:pStyle w:val="BodyText"/>
      </w:pPr>
      <w:r>
        <w:t xml:space="preserve">Date:</w:t>
      </w:r>
      <w:r>
        <w:t xml:space="preserve"> </w:t>
      </w:r>
      <w:r>
        <w:t xml:space="preserve">October 24, 2023</w:t>
      </w:r>
    </w:p>
    <w:p>
      <w:pPr>
        <w:pStyle w:val="BodyText"/>
      </w:pPr>
      <w:r>
        <w:t xml:space="preserve">Subject:</w:t>
      </w:r>
      <w:r>
        <w:t xml:space="preserve"> </w:t>
      </w:r>
      <w:r>
        <w:t xml:space="preserve">Honorable Member of the Jakarta Regional House of Representatives (DPRD DKI Jakarta)</w:t>
      </w:r>
    </w:p>
    <w:p>
      <w:pPr>
        <w:pStyle w:val="BodyText"/>
      </w:pPr>
      <w:r>
        <w:t xml:space="preserve">Review Panel:</w:t>
      </w:r>
      <w:r>
        <w:t xml:space="preserve"> </w:t>
      </w:r>
      <w:r>
        <w:t xml:space="preserve">Independent Civic Oversight Committee</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performance, integrity, and public service delivery of a specific</w:t>
      </w:r>
      <w:r>
        <w:t xml:space="preserve"> </w:t>
      </w:r>
      <w:r>
        <w:rPr>
          <w:bCs/>
          <w:b/>
        </w:rPr>
        <w:t xml:space="preserve">Politician</w:t>
      </w:r>
      <w:r>
        <w:t xml:space="preserve"> </w:t>
      </w:r>
      <w:r>
        <w:t xml:space="preserve">currently serving in the legislative body of</w:t>
      </w:r>
      <w:r>
        <w:t xml:space="preserve"> </w:t>
      </w:r>
      <w:r>
        <w:rPr>
          <w:bCs/>
          <w:b/>
        </w:rPr>
        <w:t xml:space="preserve">Indonesia Jakarta</w:t>
      </w:r>
      <w:r>
        <w:t xml:space="preserve">. The review was conducted by a panel of independent experts, civil society representatives, and fellow legislators to ensure objectivity and transparency. The primary objective is to assess the politician's adherence to democratic principles, legislative effectiveness, constituency engagement, and ethical standards within the unique socio-political context of Jakarta, the capital city of Indonesia.</w:t>
      </w:r>
    </w:p>
    <w:p>
      <w:pPr>
        <w:pStyle w:val="BodyText"/>
      </w:pPr>
      <w:r>
        <w:t xml:space="preserve">The findings indicate a mixed performance profile. While the politician demonstrates strong commitment to certain legislative initiatives related to urban infrastructure, significant gaps remain in transparency, financial accountability, and inclusive representation. This report outlines detailed observations, scoring metrics, and actionable recommendations to enhance governance quality in Jakarta.</w:t>
      </w:r>
    </w:p>
    <w:bookmarkEnd w:id="22"/>
    <w:bookmarkStart w:id="23" w:name="introduction-and-context"/>
    <w:p>
      <w:pPr>
        <w:pStyle w:val="Heading2"/>
      </w:pPr>
      <w:r>
        <w:t xml:space="preserve">2. Introduction and Context</w:t>
      </w:r>
    </w:p>
    <w:p>
      <w:pPr>
        <w:pStyle w:val="FirstParagraph"/>
      </w:pPr>
      <w:r>
        <w:t xml:space="preserve">Jakarta, as the economic and political hub of</w:t>
      </w:r>
      <w:r>
        <w:t xml:space="preserve"> </w:t>
      </w:r>
      <w:r>
        <w:rPr>
          <w:bCs/>
          <w:b/>
        </w:rPr>
        <w:t xml:space="preserve">Indonesia</w:t>
      </w:r>
      <w:r>
        <w:t xml:space="preserve">, faces complex challenges including rapid urbanization, traffic congestion, environmental degradation, and social inequality. The role of a</w:t>
      </w:r>
      <w:r>
        <w:t xml:space="preserve"> </w:t>
      </w:r>
      <w:r>
        <w:rPr>
          <w:bCs/>
          <w:b/>
        </w:rPr>
        <w:t xml:space="preserve">Politician</w:t>
      </w:r>
      <w:r>
        <w:t xml:space="preserve"> </w:t>
      </w:r>
      <w:r>
        <w:t xml:space="preserve">in this environment is critical, requiring not only legislative skill but also ethical leadership and responsiveness to diverse citizen needs.</w:t>
      </w:r>
    </w:p>
    <w:p>
      <w:pPr>
        <w:pStyle w:val="BodyText"/>
      </w:pPr>
      <w:r>
        <w:t xml:space="preserve">This</w:t>
      </w:r>
      <w:r>
        <w:t xml:space="preserve"> </w:t>
      </w:r>
      <w:r>
        <w:rPr>
          <w:bCs/>
          <w:b/>
        </w:rPr>
        <w:t xml:space="preserve">Peer Review Report</w:t>
      </w:r>
      <w:r>
        <w:t xml:space="preserve"> </w:t>
      </w:r>
      <w:r>
        <w:t xml:space="preserve">is structured to evaluate the subject against key performance indicators (KPIs) relevant to local governance in Jakarta. The review period covers the last two years of service, incorporating data from legislative records, public consultations, media analysis, and stakeholder interviews.</w:t>
      </w:r>
    </w:p>
    <w:bookmarkEnd w:id="23"/>
    <w:bookmarkStart w:id="24" w:name="evaluation-criteria-and-methodology"/>
    <w:p>
      <w:pPr>
        <w:pStyle w:val="Heading2"/>
      </w:pPr>
      <w:r>
        <w:t xml:space="preserve">3. Evaluation Criteria and Methodology</w:t>
      </w:r>
    </w:p>
    <w:p>
      <w:pPr>
        <w:pStyle w:val="FirstParagraph"/>
      </w:pPr>
      <w:r>
        <w:t xml:space="preserve">The assessment is based on five core dimensions:</w:t>
      </w:r>
    </w:p>
    <w:p>
      <w:pPr>
        <w:numPr>
          <w:ilvl w:val="0"/>
          <w:numId w:val="1001"/>
        </w:numPr>
        <w:pStyle w:val="Compact"/>
      </w:pPr>
      <w:r>
        <w:rPr>
          <w:bCs/>
          <w:b/>
        </w:rPr>
        <w:t xml:space="preserve">Legislative Productivity:</w:t>
      </w:r>
      <w:r>
        <w:t xml:space="preserve"> </w:t>
      </w:r>
      <w:r>
        <w:t xml:space="preserve">Quality and quantity of bills proposed, amendments made, and participation in committee work.</w:t>
      </w:r>
    </w:p>
    <w:p>
      <w:pPr>
        <w:numPr>
          <w:ilvl w:val="0"/>
          <w:numId w:val="1001"/>
        </w:numPr>
        <w:pStyle w:val="Compact"/>
      </w:pPr>
      <w:r>
        <w:rPr>
          <w:bCs/>
          <w:b/>
        </w:rPr>
        <w:t xml:space="preserve">Constituency Engagement:</w:t>
      </w:r>
      <w:r>
        <w:t xml:space="preserve"> </w:t>
      </w:r>
      <w:r>
        <w:t xml:space="preserve">Accessibility to constituents, responsiveness to public concerns, and community outreach programs.</w:t>
      </w:r>
    </w:p>
    <w:p>
      <w:pPr>
        <w:numPr>
          <w:ilvl w:val="0"/>
          <w:numId w:val="1001"/>
        </w:numPr>
        <w:pStyle w:val="Compact"/>
      </w:pPr>
      <w:r>
        <w:rPr>
          <w:bCs/>
          <w:b/>
        </w:rPr>
        <w:t xml:space="preserve">Integrity and Ethics:</w:t>
      </w:r>
      <w:r>
        <w:t xml:space="preserve"> </w:t>
      </w:r>
      <w:r>
        <w:t xml:space="preserve">Adherence to anti-corruption laws, transparency in financial disclosures, and conflict of interest management.</w:t>
      </w:r>
    </w:p>
    <w:p>
      <w:pPr>
        <w:numPr>
          <w:ilvl w:val="0"/>
          <w:numId w:val="1001"/>
        </w:numPr>
        <w:pStyle w:val="Compact"/>
      </w:pPr>
      <w:r>
        <w:rPr>
          <w:bCs/>
          <w:b/>
        </w:rPr>
        <w:t xml:space="preserve">Policy Impact:</w:t>
      </w:r>
      <w:r>
        <w:t xml:space="preserve"> </w:t>
      </w:r>
      <w:r>
        <w:t xml:space="preserve">Measurable outcomes of initiatives on Jakarta’s urban development, public services, and social welfare.</w:t>
      </w:r>
    </w:p>
    <w:p>
      <w:pPr>
        <w:numPr>
          <w:ilvl w:val="0"/>
          <w:numId w:val="1001"/>
        </w:numPr>
        <w:pStyle w:val="Compact"/>
      </w:pPr>
      <w:r>
        <w:rPr>
          <w:bCs/>
          <w:b/>
        </w:rPr>
        <w:t xml:space="preserve">Collaboration and Leadership:</w:t>
      </w:r>
      <w:r>
        <w:t xml:space="preserve"> </w:t>
      </w:r>
      <w:r>
        <w:t xml:space="preserve">Ability to work across party lines, mentor junior legislators, and contribute to consensus-building.</w:t>
      </w:r>
    </w:p>
    <w:p>
      <w:pPr>
        <w:pStyle w:val="FirstParagraph"/>
      </w:pPr>
      <w:r>
        <w:t xml:space="preserve">Data was collected through document analysis, surveys of Jakarta residents, interviews with civil society organizations, and peer evaluations from fellow DPRD members.</w:t>
      </w:r>
    </w:p>
    <w:bookmarkEnd w:id="24"/>
    <w:bookmarkStart w:id="30" w:name="detailed-findings"/>
    <w:p>
      <w:pPr>
        <w:pStyle w:val="Heading2"/>
      </w:pPr>
      <w:r>
        <w:t xml:space="preserve">4. Detailed Findings</w:t>
      </w:r>
    </w:p>
    <w:bookmarkStart w:id="25" w:name="legislative-productivity"/>
    <w:p>
      <w:pPr>
        <w:pStyle w:val="Heading3"/>
      </w:pPr>
      <w:r>
        <w:t xml:space="preserve">4.1 Legislative Productivity</w:t>
      </w:r>
    </w:p>
    <w:p>
      <w:pPr>
        <w:pStyle w:val="FirstParagraph"/>
      </w:pPr>
      <w:r>
        <w:t xml:space="preserve">The</w:t>
      </w:r>
      <w:r>
        <w:t xml:space="preserve"> </w:t>
      </w:r>
      <w:r>
        <w:rPr>
          <w:bCs/>
          <w:b/>
        </w:rPr>
        <w:t xml:space="preserve">Politician</w:t>
      </w:r>
      <w:r>
        <w:t xml:space="preserve"> </w:t>
      </w:r>
      <w:r>
        <w:t xml:space="preserve">has been actively involved in the Transportation and Infrastructure Committee of the DPRD DKI Jakarta. Over the review period, they co-sponsored 12 regional regulations (Perda), primarily focused on public transit optimization and flood mitigation strategies. Their participation rate in plenary sessions stands at 85%, which is above the average for the current legislative term.</w:t>
      </w:r>
    </w:p>
    <w:p>
      <w:pPr>
        <w:pStyle w:val="BodyText"/>
      </w:pPr>
      <w:r>
        <w:t xml:space="preserve">However, several proposed bills lacked detailed feasibility studies or stakeholder consultation, leading to delays in implementation. This suggests a need for more rigorous policy preparation before legislative submission.</w:t>
      </w:r>
    </w:p>
    <w:bookmarkEnd w:id="25"/>
    <w:bookmarkStart w:id="26" w:name="constituency-engagement"/>
    <w:p>
      <w:pPr>
        <w:pStyle w:val="Heading3"/>
      </w:pPr>
      <w:r>
        <w:t xml:space="preserve">4.2 Constituency Engagement</w:t>
      </w:r>
    </w:p>
    <w:p>
      <w:pPr>
        <w:pStyle w:val="FirstParagraph"/>
      </w:pPr>
      <w:r>
        <w:t xml:space="preserve">The politician maintains a visible presence in their electoral district through monthly town hall meetings and social media engagement. Feedback from constituents indicates appreciation for their accessibility but criticism for slow follow-up on reported issues such as waste management and street lighting.</w:t>
      </w:r>
    </w:p>
    <w:p>
      <w:pPr>
        <w:pStyle w:val="BodyText"/>
      </w:pPr>
      <w:r>
        <w:t xml:space="preserve">In the context of</w:t>
      </w:r>
      <w:r>
        <w:t xml:space="preserve"> </w:t>
      </w:r>
      <w:r>
        <w:rPr>
          <w:bCs/>
          <w:b/>
        </w:rPr>
        <w:t xml:space="preserve">Indonesia Jakarta</w:t>
      </w:r>
      <w:r>
        <w:t xml:space="preserve">, where digital connectivity is high, the politician’s use of online platforms is commendable. Yet, engagement with marginalized communities, including informal settlers and migrant workers, remains limited.</w:t>
      </w:r>
    </w:p>
    <w:bookmarkEnd w:id="26"/>
    <w:bookmarkStart w:id="27" w:name="integrity-and-ethics"/>
    <w:p>
      <w:pPr>
        <w:pStyle w:val="Heading3"/>
      </w:pPr>
      <w:r>
        <w:t xml:space="preserve">4.3 Integrity and Ethics</w:t>
      </w:r>
    </w:p>
    <w:p>
      <w:pPr>
        <w:pStyle w:val="FirstParagraph"/>
      </w:pPr>
      <w:r>
        <w:t xml:space="preserve">This area presents the most significant concerns. While no formal corruption charges have been filed, the</w:t>
      </w:r>
      <w:r>
        <w:t xml:space="preserve"> </w:t>
      </w:r>
      <w:r>
        <w:rPr>
          <w:bCs/>
          <w:b/>
        </w:rPr>
        <w:t xml:space="preserve">Peer Review Report</w:t>
      </w:r>
      <w:r>
        <w:t xml:space="preserve"> </w:t>
      </w:r>
      <w:r>
        <w:t xml:space="preserve">identifies inconsistencies in the politician’s annual financial disclosures. Additionally, there are unverified allegations of preferential treatment in the allocation of local development funds.</w:t>
      </w:r>
    </w:p>
    <w:p>
      <w:pPr>
        <w:pStyle w:val="BodyText"/>
      </w:pPr>
      <w:r>
        <w:t xml:space="preserve">Transparency is a cornerstone of public trust in</w:t>
      </w:r>
      <w:r>
        <w:t xml:space="preserve"> </w:t>
      </w:r>
      <w:r>
        <w:rPr>
          <w:bCs/>
          <w:b/>
        </w:rPr>
        <w:t xml:space="preserve">Indonesia</w:t>
      </w:r>
      <w:r>
        <w:t xml:space="preserve">. The lack of clear documentation regarding lobbying interactions and campaign financing undermines the politician’s credibility.</w:t>
      </w:r>
    </w:p>
    <w:bookmarkEnd w:id="27"/>
    <w:bookmarkStart w:id="28" w:name="policy-impact"/>
    <w:p>
      <w:pPr>
        <w:pStyle w:val="Heading3"/>
      </w:pPr>
      <w:r>
        <w:t xml:space="preserve">4.4 Policy Impact</w:t>
      </w:r>
    </w:p>
    <w:p>
      <w:pPr>
        <w:pStyle w:val="FirstParagraph"/>
      </w:pPr>
      <w:r>
        <w:t xml:space="preserve">Initiatives led by the politician have contributed to the expansion of bus rapid transit (BRT) lanes in East Jakarta, improving commute times for thousands of residents. Environmental policies advocated by them have also influenced stricter regulations on industrial emissions in certain zones.</w:t>
      </w:r>
    </w:p>
    <w:p>
      <w:pPr>
        <w:pStyle w:val="BodyText"/>
      </w:pPr>
      <w:r>
        <w:t xml:space="preserve">Nevertheless, long-term impact assessments are lacking. Many projects remain incomplete or underutilized due to poor coordination with executive agencies, highlighting a gap in implementation oversight.</w:t>
      </w:r>
    </w:p>
    <w:bookmarkEnd w:id="28"/>
    <w:bookmarkStart w:id="29" w:name="collaboration-and-leadership"/>
    <w:p>
      <w:pPr>
        <w:pStyle w:val="Heading3"/>
      </w:pPr>
      <w:r>
        <w:t xml:space="preserve">4.5 Collaboration and Leadership</w:t>
      </w:r>
    </w:p>
    <w:p>
      <w:pPr>
        <w:pStyle w:val="FirstParagraph"/>
      </w:pPr>
      <w:r>
        <w:t xml:space="preserve">The politician is generally respected by peers for their negotiation skills and willingness to compromise on non-ideological issues. They have played a mediating role in several contentious debates within the DPRD.</w:t>
      </w:r>
    </w:p>
    <w:p>
      <w:pPr>
        <w:pStyle w:val="BodyText"/>
      </w:pPr>
      <w:r>
        <w:t xml:space="preserve">However, their leadership style is perceived as somewhat insular, with limited efforts to empower younger or female legislators. Greater inclusivity in committee leadership would strengthen democratic practices in Jakarta.</w:t>
      </w:r>
    </w:p>
    <w:bookmarkEnd w:id="29"/>
    <w:bookmarkEnd w:id="30"/>
    <w:bookmarkStart w:id="31" w:name="performance-scoring-summary"/>
    <w:p>
      <w:pPr>
        <w:pStyle w:val="Heading2"/>
      </w:pPr>
      <w:r>
        <w:t xml:space="preserve">5. Performance Scoring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Evaluation Dimension</w:t>
            </w:r>
          </w:p>
        </w:tc>
        <w:tc>
          <w:tcPr/>
          <w:p>
            <w:pPr>
              <w:pStyle w:val="Compact"/>
              <w:jc w:val="left"/>
            </w:pPr>
            <w:r>
              <w:t xml:space="preserve">Score (out of 10)</w:t>
            </w:r>
          </w:p>
        </w:tc>
        <w:tc>
          <w:tcPr/>
          <w:p>
            <w:pPr>
              <w:pStyle w:val="Compact"/>
              <w:jc w:val="left"/>
            </w:pPr>
            <w:r>
              <w:t xml:space="preserve">Rating</w:t>
            </w:r>
          </w:p>
        </w:tc>
      </w:tr>
      <w:tr>
        <w:tc>
          <w:tcPr/>
          <w:p>
            <w:pPr>
              <w:pStyle w:val="Compact"/>
              <w:jc w:val="left"/>
            </w:pPr>
            <w:r>
              <w:t xml:space="preserve">Legislative Productivity</w:t>
            </w:r>
          </w:p>
        </w:tc>
        <w:tc>
          <w:tcPr/>
          <w:p>
            <w:pPr>
              <w:pStyle w:val="Compact"/>
              <w:jc w:val="left"/>
            </w:pPr>
            <w:r>
              <w:t xml:space="preserve">7.5</w:t>
            </w:r>
          </w:p>
        </w:tc>
        <w:tc>
          <w:tcPr/>
          <w:p>
            <w:pPr>
              <w:pStyle w:val="Compact"/>
              <w:jc w:val="left"/>
            </w:pPr>
            <w:r>
              <w:t xml:space="preserve">Good</w:t>
            </w:r>
          </w:p>
        </w:tc>
      </w:tr>
      <w:tr>
        <w:tc>
          <w:tcPr/>
          <w:p>
            <w:pPr>
              <w:pStyle w:val="Compact"/>
              <w:jc w:val="left"/>
            </w:pPr>
            <w:r>
              <w:t xml:space="preserve">Constituency Engagement</w:t>
            </w:r>
          </w:p>
        </w:tc>
        <w:tc>
          <w:tcPr/>
          <w:p>
            <w:pPr>
              <w:pStyle w:val="Compact"/>
              <w:jc w:val="left"/>
            </w:pPr>
            <w:r>
              <w:t xml:space="preserve">6.8</w:t>
            </w:r>
          </w:p>
        </w:tc>
        <w:tc>
          <w:tcPr/>
          <w:p>
            <w:pPr>
              <w:pStyle w:val="Compact"/>
              <w:jc w:val="left"/>
            </w:pPr>
            <w:r>
              <w:t xml:space="preserve">Satisfactory</w:t>
            </w:r>
          </w:p>
        </w:tc>
      </w:tr>
      <w:tr>
        <w:tc>
          <w:tcPr/>
          <w:p>
            <w:pPr>
              <w:pStyle w:val="Compact"/>
              <w:jc w:val="left"/>
            </w:pPr>
            <w:r>
              <w:t xml:space="preserve">Integrity and Ethics</w:t>
            </w:r>
          </w:p>
        </w:tc>
        <w:tc>
          <w:tcPr/>
          <w:p>
            <w:pPr>
              <w:pStyle w:val="Compact"/>
              <w:jc w:val="left"/>
            </w:pPr>
            <w:r>
              <w:t xml:space="preserve">4.2</w:t>
            </w:r>
          </w:p>
        </w:tc>
        <w:tc>
          <w:tcPr/>
          <w:p>
            <w:pPr>
              <w:pStyle w:val="Compact"/>
              <w:jc w:val="left"/>
            </w:pPr>
            <w:r>
              <w:t xml:space="preserve">Needs Improvement</w:t>
            </w:r>
          </w:p>
        </w:tc>
      </w:tr>
      <w:tr>
        <w:tc>
          <w:tcPr/>
          <w:p>
            <w:pPr>
              <w:pStyle w:val="Compact"/>
              <w:jc w:val="left"/>
            </w:pPr>
            <w:r>
              <w:t xml:space="preserve">Policy Impact</w:t>
            </w:r>
          </w:p>
        </w:tc>
        <w:tc>
          <w:tcPr/>
          <w:p>
            <w:pPr>
              <w:pStyle w:val="Compact"/>
              <w:jc w:val="left"/>
            </w:pPr>
            <w:r>
              <w:t xml:space="preserve">6.5</w:t>
            </w:r>
          </w:p>
        </w:tc>
        <w:tc>
          <w:tcPr/>
          <w:p>
            <w:pPr>
              <w:pStyle w:val="Compact"/>
              <w:jc w:val="left"/>
            </w:pPr>
            <w:r>
              <w:t xml:space="preserve">Satisfactory</w:t>
            </w:r>
          </w:p>
        </w:tc>
      </w:tr>
      <w:tr>
        <w:tc>
          <w:tcPr/>
          <w:p>
            <w:pPr>
              <w:pStyle w:val="Compact"/>
              <w:jc w:val="left"/>
            </w:pPr>
            <w:r>
              <w:t xml:space="preserve">Collaboration and Leadership</w:t>
            </w:r>
          </w:p>
        </w:tc>
        <w:tc>
          <w:tcPr/>
          <w:p>
            <w:pPr>
              <w:pStyle w:val="Compact"/>
              <w:jc w:val="left"/>
            </w:pPr>
            <w:r>
              <w:t xml:space="preserve">7.9</w:t>
            </w:r>
          </w:p>
        </w:tc>
        <w:tc>
          <w:tcPr/>
          <w:p>
            <w:pPr>
              <w:pStyle w:val="Compact"/>
              <w:jc w:val="left"/>
            </w:pPr>
            <w:r>
              <w:t xml:space="preserve">Good</w:t>
            </w:r>
          </w:p>
        </w:tc>
      </w:tr>
      <w:tr>
        <w:tc>
          <w:tcPr/>
          <w:p>
            <w:pPr>
              <w:pStyle w:val="Compact"/>
              <w:jc w:val="left"/>
            </w:pPr>
            <w:r>
              <w:rPr>
                <w:bCs/>
                <w:b/>
              </w:rPr>
              <w:t xml:space="preserve">Overall Average</w:t>
            </w:r>
          </w:p>
        </w:tc>
        <w:tc>
          <w:tcPr/>
          <w:p>
            <w:pPr>
              <w:pStyle w:val="Compact"/>
              <w:jc w:val="left"/>
            </w:pPr>
            <w:r>
              <w:rPr>
                <w:bCs/>
                <w:b/>
              </w:rPr>
              <w:t xml:space="preserve">6.58</w:t>
            </w:r>
          </w:p>
        </w:tc>
        <w:tc>
          <w:tcPr/>
          <w:p>
            <w:pPr>
              <w:pStyle w:val="Compact"/>
              <w:jc w:val="left"/>
            </w:pPr>
            <w:r>
              <w:rPr>
                <w:bCs/>
                <w:b/>
              </w:rPr>
              <w:t xml:space="preserve">Satisfactory</w:t>
            </w:r>
          </w:p>
        </w:tc>
      </w:tr>
    </w:tbl>
    <w:bookmarkEnd w:id="31"/>
    <w:bookmarkStart w:id="32"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actions are recommended for the</w:t>
      </w:r>
      <w:r>
        <w:t xml:space="preserve"> </w:t>
      </w:r>
      <w:r>
        <w:rPr>
          <w:bCs/>
          <w:b/>
        </w:rPr>
        <w:t xml:space="preserve">Politician</w:t>
      </w:r>
      <w:r>
        <w:t xml:space="preserve"> </w:t>
      </w:r>
      <w:r>
        <w:t xml:space="preserve">to enhance their effectiveness and accountability in</w:t>
      </w:r>
      <w:r>
        <w:t xml:space="preserve"> </w:t>
      </w:r>
      <w:r>
        <w:rPr>
          <w:bCs/>
          <w:b/>
        </w:rPr>
        <w:t xml:space="preserve">Indonesia Jakarta</w:t>
      </w:r>
      <w:r>
        <w:t xml:space="preserve">:</w:t>
      </w:r>
    </w:p>
    <w:p>
      <w:pPr>
        <w:numPr>
          <w:ilvl w:val="0"/>
          <w:numId w:val="1002"/>
        </w:numPr>
        <w:pStyle w:val="Compact"/>
      </w:pPr>
      <w:r>
        <w:rPr>
          <w:bCs/>
          <w:b/>
        </w:rPr>
        <w:t xml:space="preserve">Enhance Transparency:</w:t>
      </w:r>
      <w:r>
        <w:t xml:space="preserve"> </w:t>
      </w:r>
      <w:r>
        <w:t xml:space="preserve">Publish detailed reports on all financial transactions, lobbying meetings, and campaign expenditures. Adopt open-data practices for projects they oversee.</w:t>
      </w:r>
    </w:p>
    <w:p>
      <w:pPr>
        <w:numPr>
          <w:ilvl w:val="0"/>
          <w:numId w:val="1002"/>
        </w:numPr>
        <w:pStyle w:val="Compact"/>
      </w:pPr>
      <w:r>
        <w:rPr>
          <w:bCs/>
          <w:b/>
        </w:rPr>
        <w:t xml:space="preserve">Strengthen Policy Preparation:</w:t>
      </w:r>
      <w:r>
        <w:t xml:space="preserve"> </w:t>
      </w:r>
      <w:r>
        <w:t xml:space="preserve">Collaborate with academic institutions and think tanks in Jakarta to ensure proposed legislation is evidence-based and feasible.</w:t>
      </w:r>
    </w:p>
    <w:p>
      <w:pPr>
        <w:numPr>
          <w:ilvl w:val="0"/>
          <w:numId w:val="1002"/>
        </w:numPr>
        <w:pStyle w:val="Compact"/>
      </w:pPr>
      <w:r>
        <w:rPr>
          <w:bCs/>
          <w:b/>
        </w:rPr>
        <w:t xml:space="preserve">Improve Constituency Responsiveness:</w:t>
      </w:r>
      <w:r>
        <w:t xml:space="preserve"> </w:t>
      </w:r>
      <w:r>
        <w:t xml:space="preserve">Establish a digital tracking system for citizen complaints and publicly report resolution rates quarterly.</w:t>
      </w:r>
    </w:p>
    <w:p>
      <w:pPr>
        <w:numPr>
          <w:ilvl w:val="0"/>
          <w:numId w:val="1002"/>
        </w:numPr>
        <w:pStyle w:val="Compact"/>
      </w:pPr>
      <w:r>
        <w:rPr>
          <w:bCs/>
          <w:b/>
        </w:rPr>
        <w:t xml:space="preserve">Promote Inclusivity:</w:t>
      </w:r>
      <w:r>
        <w:t xml:space="preserve"> </w:t>
      </w:r>
      <w:r>
        <w:t xml:space="preserve">Actively involve underrepresented groups in policy discussions and support mentorship programs for emerging leaders.</w:t>
      </w:r>
    </w:p>
    <w:p>
      <w:pPr>
        <w:numPr>
          <w:ilvl w:val="0"/>
          <w:numId w:val="1002"/>
        </w:numPr>
        <w:pStyle w:val="Compact"/>
      </w:pPr>
      <w:r>
        <w:rPr>
          <w:bCs/>
          <w:b/>
        </w:rPr>
        <w:t xml:space="preserve">Ensure Project Completion:</w:t>
      </w:r>
      <w:r>
        <w:t xml:space="preserve"> </w:t>
      </w:r>
      <w:r>
        <w:t xml:space="preserve">Work closely with the Jakarta provincial government to monitor the implementation and maintenance of initiated projects.</w:t>
      </w:r>
    </w:p>
    <w:bookmarkEnd w:id="32"/>
    <w:bookmarkStart w:id="33"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 evaluated</w:t>
      </w:r>
      <w:r>
        <w:t xml:space="preserve"> </w:t>
      </w:r>
      <w:r>
        <w:rPr>
          <w:bCs/>
          <w:b/>
        </w:rPr>
        <w:t xml:space="preserve">Politician</w:t>
      </w:r>
      <w:r>
        <w:t xml:space="preserve"> </w:t>
      </w:r>
      <w:r>
        <w:t xml:space="preserve">demonstrates competence in legislative work and collaboration but falls short in ethical transparency and inclusive governance. In a dynamic and demanding environment like</w:t>
      </w:r>
      <w:r>
        <w:t xml:space="preserve"> </w:t>
      </w:r>
      <w:r>
        <w:rPr>
          <w:bCs/>
          <w:b/>
        </w:rPr>
        <w:t xml:space="preserve">Indonesia Jakarta</w:t>
      </w:r>
      <w:r>
        <w:t xml:space="preserve">, continuous improvement is essential to maintain public trust and deliver meaningful progress.</w:t>
      </w:r>
    </w:p>
    <w:p>
      <w:pPr>
        <w:pStyle w:val="BodyText"/>
      </w:pPr>
      <w:r>
        <w:t xml:space="preserve">The recommendations provided are intended to support the politician’s professional development and contribute to the broader goal of strengthening democratic institutions in Jakarta. Regular follow-up reviews are advised to monitor progress and ensure accountability.</w:t>
      </w:r>
    </w:p>
    <w:bookmarkEnd w:id="33"/>
    <w:p>
      <w:pPr>
        <w:pStyle w:val="BodyText"/>
      </w:pPr>
      <w:r>
        <w:t xml:space="preserve">© 2023 Independent Civic Oversight Committee. All rights reserved. This report is for informational purposes and does not constitute legal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Politician Performance Assessment - Indonesia Jakarta</dc:title>
  <dc:creator/>
  <dc:language>en</dc:language>
  <cp:keywords/>
  <dcterms:created xsi:type="dcterms:W3CDTF">2026-10-10T08:14:53Z</dcterms:created>
  <dcterms:modified xsi:type="dcterms:W3CDTF">2026-10-10T08:14:53Z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