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t xml:space="preserve">Subject Role</w:t>
      </w:r>
      <w:r>
        <w:t xml:space="preserve"> </w:t>
      </w:r>
      <w:r>
        <w:t xml:space="preserve">Politician (Member of the National Assembly)</w:t>
      </w:r>
    </w:p>
    <w:p>
      <w:pPr>
        <w:pStyle w:val="BodyText"/>
      </w:pPr>
      <w:r>
        <w:t xml:space="preserve">Location</w:t>
      </w:r>
      <w:r>
        <w:t xml:space="preserve"> </w:t>
      </w:r>
      <w:r>
        <w:t xml:space="preserve">Kuwait, Kuwait City</w:t>
      </w:r>
    </w:p>
    <w:p>
      <w:pPr>
        <w:pStyle w:val="BodyText"/>
      </w:pPr>
      <w:r>
        <w:t xml:space="preserve">Review 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legislative impact, and public engagement of a designated</w:t>
      </w:r>
      <w:r>
        <w:t xml:space="preserve"> </w:t>
      </w:r>
      <w:r>
        <w:rPr>
          <w:bCs/>
          <w:b/>
        </w:rPr>
        <w:t xml:space="preserve">Politician</w:t>
      </w:r>
      <w:r>
        <w:t xml:space="preserve"> </w:t>
      </w:r>
      <w:r>
        <w:t xml:space="preserve">serving within the National Assembly of</w:t>
      </w:r>
      <w:r>
        <w:t xml:space="preserve"> </w:t>
      </w:r>
      <w:r>
        <w:rPr>
          <w:bCs/>
          <w:b/>
        </w:rPr>
        <w:t xml:space="preserve">Kuwait</w:t>
      </w:r>
      <w:r>
        <w:t xml:space="preserve">. The assessment focuses specifically on activities conducted within</w:t>
      </w:r>
      <w:r>
        <w:t xml:space="preserve"> </w:t>
      </w:r>
      <w:r>
        <w:rPr>
          <w:bCs/>
          <w:b/>
        </w:rPr>
        <w:t xml:space="preserve">Kuwait City</w:t>
      </w:r>
      <w:r>
        <w:t xml:space="preserve">, the capital and political hub of the nation. The objective of this review is to analyze the efficacy of the subject's representation, adherence to constitutional duties, and contribution to the socio-economic development of the region.</w:t>
      </w:r>
    </w:p>
    <w:p>
      <w:pPr>
        <w:pStyle w:val="BodyText"/>
      </w:pPr>
      <w:r>
        <w:t xml:space="preserve">The review panel has examined legislative records, public statements, committee participation, and constituent feedback. The findings indicate a mixed performance profile, characterized by strong rhetorical engagement in</w:t>
      </w:r>
      <w:r>
        <w:t xml:space="preserve"> </w:t>
      </w:r>
      <w:r>
        <w:rPr>
          <w:bCs/>
          <w:b/>
        </w:rPr>
        <w:t xml:space="preserve">Kuwait City</w:t>
      </w:r>
      <w:r>
        <w:t xml:space="preserve"> </w:t>
      </w:r>
      <w:r>
        <w:t xml:space="preserve">but requiring improvement in legislative follow-through and cross-party collaboration.</w:t>
      </w:r>
    </w:p>
    <w:bookmarkEnd w:id="21"/>
    <w:bookmarkStart w:id="24" w:name="Xa85eb2ac9cdbb12fed82b567718cc764ea6e1eb"/>
    <w:p>
      <w:pPr>
        <w:pStyle w:val="Heading2"/>
      </w:pPr>
      <w:r>
        <w:t xml:space="preserve">2. Legislative Performance and Policy Impact</w:t>
      </w:r>
    </w:p>
    <w:p>
      <w:pPr>
        <w:pStyle w:val="FirstParagraph"/>
      </w:pPr>
      <w:r>
        <w:t xml:space="preserve">A primary responsibility of any</w:t>
      </w:r>
      <w:r>
        <w:t xml:space="preserve"> </w:t>
      </w:r>
      <w:r>
        <w:rPr>
          <w:bCs/>
          <w:b/>
        </w:rPr>
        <w:t xml:space="preserve">Politician</w:t>
      </w:r>
      <w:r>
        <w:t xml:space="preserve"> </w:t>
      </w:r>
      <w:r>
        <w:t xml:space="preserve">in the Kuwaiti parliamentary system is the drafting, amending, and voting on legislation. This section evaluates the subject's contribution to the legislative agenda in</w:t>
      </w:r>
      <w:r>
        <w:t xml:space="preserve"> </w:t>
      </w:r>
      <w:r>
        <w:rPr>
          <w:bCs/>
          <w:b/>
        </w:rPr>
        <w:t xml:space="preserve">Kuwait</w:t>
      </w:r>
      <w:r>
        <w:t xml:space="preserve">.</w:t>
      </w:r>
    </w:p>
    <w:bookmarkStart w:id="22" w:name="bill-sponsorship-and-amendments"/>
    <w:p>
      <w:pPr>
        <w:pStyle w:val="Heading3"/>
      </w:pPr>
      <w:r>
        <w:t xml:space="preserve">2.1 Bill Sponsorship and Amendments</w:t>
      </w:r>
    </w:p>
    <w:p>
      <w:pPr>
        <w:pStyle w:val="FirstParagraph"/>
      </w:pPr>
      <w:r>
        <w:t xml:space="preserve">The subject has been active in proposing amendments related to municipal infrastructure in</w:t>
      </w:r>
      <w:r>
        <w:t xml:space="preserve"> </w:t>
      </w:r>
      <w:r>
        <w:rPr>
          <w:bCs/>
          <w:b/>
        </w:rPr>
        <w:t xml:space="preserve">Kuwait City</w:t>
      </w:r>
      <w:r>
        <w:t xml:space="preserve">. Specifically, initiatives aimed at improving traffic flow in the central business district and enhancing public parks in the Al-Shamiya and Al-Mubarakiya districts were noted. However, the review panel observes that while the volume of proposed amendments is high, the success rate of these bills passing into law remains below the national average. This suggests a need for better strategic alignment with the Cabinet's legislative priorities.</w:t>
      </w:r>
    </w:p>
    <w:bookmarkEnd w:id="22"/>
    <w:bookmarkStart w:id="23" w:name="committee-participation"/>
    <w:p>
      <w:pPr>
        <w:pStyle w:val="Heading3"/>
      </w:pPr>
      <w:r>
        <w:t xml:space="preserve">2.2 Committee Participation</w:t>
      </w:r>
    </w:p>
    <w:p>
      <w:pPr>
        <w:pStyle w:val="FirstParagraph"/>
      </w:pPr>
      <w:r>
        <w:t xml:space="preserve">As a member of the Committee on Public Works and Housing, the</w:t>
      </w:r>
      <w:r>
        <w:t xml:space="preserve"> </w:t>
      </w:r>
      <w:r>
        <w:rPr>
          <w:bCs/>
          <w:b/>
        </w:rPr>
        <w:t xml:space="preserve">Politician</w:t>
      </w:r>
      <w:r>
        <w:t xml:space="preserve"> </w:t>
      </w:r>
      <w:r>
        <w:t xml:space="preserve">has attended 85% of scheduled sessions. The peer review highlights that the subject frequently raises critical questions regarding budget allocations for projects in</w:t>
      </w:r>
      <w:r>
        <w:t xml:space="preserve"> </w:t>
      </w:r>
      <w:r>
        <w:rPr>
          <w:bCs/>
          <w:b/>
        </w:rPr>
        <w:t xml:space="preserve">Kuwait City</w:t>
      </w:r>
      <w:r>
        <w:t xml:space="preserve">. This scrutiny is vital for ensuring transparency in public spending. However, the report notes a tendency to focus on immediate, visible projects rather than long-term urban planning strategies essential for the sustainable growth of</w:t>
      </w:r>
      <w:r>
        <w:t xml:space="preserve"> </w:t>
      </w:r>
      <w:r>
        <w:rPr>
          <w:bCs/>
          <w:b/>
        </w:rPr>
        <w:t xml:space="preserve">Kuwait</w:t>
      </w:r>
      <w:r>
        <w:t xml:space="preserve">.</w:t>
      </w:r>
    </w:p>
    <w:bookmarkEnd w:id="23"/>
    <w:bookmarkEnd w:id="24"/>
    <w:bookmarkStart w:id="27" w:name="Xa7c1402abef92d95f25f92c36574570abc95876"/>
    <w:p>
      <w:pPr>
        <w:pStyle w:val="Heading2"/>
      </w:pPr>
      <w:r>
        <w:t xml:space="preserve">3. Public Engagement and Constituency Representation</w:t>
      </w:r>
    </w:p>
    <w:p>
      <w:pPr>
        <w:pStyle w:val="FirstParagraph"/>
      </w:pPr>
      <w:r>
        <w:t xml:space="preserve">The relationship between a</w:t>
      </w:r>
      <w:r>
        <w:t xml:space="preserve"> </w:t>
      </w:r>
      <w:r>
        <w:rPr>
          <w:bCs/>
          <w:b/>
        </w:rPr>
        <w:t xml:space="preserve">Politician</w:t>
      </w:r>
      <w:r>
        <w:t xml:space="preserve"> </w:t>
      </w:r>
      <w:r>
        <w:t xml:space="preserve">and their constituents is the cornerstone of democratic representation. In</w:t>
      </w:r>
      <w:r>
        <w:t xml:space="preserve"> </w:t>
      </w:r>
      <w:r>
        <w:rPr>
          <w:bCs/>
          <w:b/>
        </w:rPr>
        <w:t xml:space="preserve">Kuwait City</w:t>
      </w:r>
      <w:r>
        <w:t xml:space="preserve">, where population density is high and public expectations are significant, this relationship is particularly scrutinized.</w:t>
      </w:r>
    </w:p>
    <w:bookmarkStart w:id="25" w:name="accessibility-and-responsiveness"/>
    <w:p>
      <w:pPr>
        <w:pStyle w:val="Heading3"/>
      </w:pPr>
      <w:r>
        <w:t xml:space="preserve">3.1 Accessibility and Responsiveness</w:t>
      </w:r>
    </w:p>
    <w:p>
      <w:pPr>
        <w:pStyle w:val="FirstParagraph"/>
      </w:pPr>
      <w:r>
        <w:t xml:space="preserve">The subject maintains an active presence in the "Majlis" (traditional gathering hall), a crucial cultural institution in</w:t>
      </w:r>
      <w:r>
        <w:t xml:space="preserve"> </w:t>
      </w:r>
      <w:r>
        <w:rPr>
          <w:bCs/>
          <w:b/>
        </w:rPr>
        <w:t xml:space="preserve">Kuwait</w:t>
      </w:r>
      <w:r>
        <w:t xml:space="preserve">. Feedback from constituents indicates that the</w:t>
      </w:r>
      <w:r>
        <w:t xml:space="preserve"> </w:t>
      </w:r>
      <w:r>
        <w:rPr>
          <w:bCs/>
          <w:b/>
        </w:rPr>
        <w:t xml:space="preserve">Politician</w:t>
      </w:r>
      <w:r>
        <w:t xml:space="preserve"> </w:t>
      </w:r>
      <w:r>
        <w:t xml:space="preserve">is highly accessible and responsive to individual grievances, particularly regarding civil service delays and municipal services. This high level of personal engagement has fostered a strong base of support within the district.</w:t>
      </w:r>
    </w:p>
    <w:bookmarkEnd w:id="25"/>
    <w:bookmarkStart w:id="26" w:name="digital-communication"/>
    <w:p>
      <w:pPr>
        <w:pStyle w:val="Heading3"/>
      </w:pPr>
      <w:r>
        <w:t xml:space="preserve">3.2 Digital Communication</w:t>
      </w:r>
    </w:p>
    <w:p>
      <w:pPr>
        <w:pStyle w:val="FirstParagraph"/>
      </w:pPr>
      <w:r>
        <w:t xml:space="preserve">In terms of digital outreach, the subject utilizes social media platforms to communicate policy positions. However, the</w:t>
      </w:r>
      <w:r>
        <w:t xml:space="preserve"> </w:t>
      </w:r>
      <w:r>
        <w:rPr>
          <w:bCs/>
          <w:b/>
        </w:rPr>
        <w:t xml:space="preserve">Peer Review Report</w:t>
      </w:r>
      <w:r>
        <w:t xml:space="preserve"> </w:t>
      </w:r>
      <w:r>
        <w:t xml:space="preserve">identifies a gap in the quality of information disseminated. While posts are frequent, they often lack detailed policy explanations. To better serve the diverse demographic of</w:t>
      </w:r>
      <w:r>
        <w:t xml:space="preserve"> </w:t>
      </w:r>
      <w:r>
        <w:rPr>
          <w:bCs/>
          <w:b/>
        </w:rPr>
        <w:t xml:space="preserve">Kuwait City</w:t>
      </w:r>
      <w:r>
        <w:t xml:space="preserve">, the subject should enhance digital communication with substantive content that educates the public on complex legislative matters.</w:t>
      </w:r>
    </w:p>
    <w:bookmarkEnd w:id="26"/>
    <w:bookmarkEnd w:id="27"/>
    <w:bookmarkStart w:id="28" w:name="X4ce211acb8b02978b825403f312638d11fa1afd"/>
    <w:p>
      <w:pPr>
        <w:pStyle w:val="Heading2"/>
      </w:pPr>
      <w:r>
        <w:t xml:space="preserve">4. Ethical Standards and Professional Conduct</w:t>
      </w:r>
    </w:p>
    <w:p>
      <w:pPr>
        <w:pStyle w:val="FirstParagraph"/>
      </w:pPr>
      <w:r>
        <w:t xml:space="preserve">Integrity is paramount for any</w:t>
      </w:r>
      <w:r>
        <w:t xml:space="preserve"> </w:t>
      </w:r>
      <w:r>
        <w:rPr>
          <w:bCs/>
          <w:b/>
        </w:rPr>
        <w:t xml:space="preserve">Politician</w:t>
      </w:r>
      <w:r>
        <w:t xml:space="preserve"> </w:t>
      </w:r>
      <w:r>
        <w:t xml:space="preserve">in</w:t>
      </w:r>
      <w:r>
        <w:t xml:space="preserve"> </w:t>
      </w:r>
      <w:r>
        <w:rPr>
          <w:bCs/>
          <w:b/>
        </w:rPr>
        <w:t xml:space="preserve">Kuwait</w:t>
      </w:r>
      <w:r>
        <w:t xml:space="preserve">. This section assesses the subject's adherence to ethical guidelines and professional conduct.</w:t>
      </w:r>
    </w:p>
    <w:p>
      <w:pPr>
        <w:pStyle w:val="BodyText"/>
      </w:pPr>
      <w:r>
        <w:t xml:space="preserve">The review found no evidence of financial misconduct or violation of the Code of Conduct for Members of the National Assembly. The subject has maintained a professional demeanor during parliamentary debates, even during contentious sessions. However, the report notes instances where rhetoric used in public forums in</w:t>
      </w:r>
      <w:r>
        <w:t xml:space="preserve"> </w:t>
      </w:r>
      <w:r>
        <w:rPr>
          <w:bCs/>
          <w:b/>
        </w:rPr>
        <w:t xml:space="preserve">Kuwait City</w:t>
      </w:r>
      <w:r>
        <w:t xml:space="preserve"> </w:t>
      </w:r>
      <w:r>
        <w:t xml:space="preserve">could be perceived as polarizing. While passionate advocacy is expected, the subject is advised to adopt a more inclusive tone to foster national unity and constructive dialogue.</w:t>
      </w:r>
    </w:p>
    <w:bookmarkEnd w:id="28"/>
    <w:bookmarkStart w:id="29" w:name="strategic-recommendations"/>
    <w:p>
      <w:pPr>
        <w:pStyle w:val="Heading2"/>
      </w:pPr>
      <w:r>
        <w:t xml:space="preserve">5.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enhance the effectiveness of the</w:t>
      </w:r>
      <w:r>
        <w:t xml:space="preserve"> </w:t>
      </w:r>
      <w:r>
        <w:rPr>
          <w:bCs/>
          <w:b/>
        </w:rPr>
        <w:t xml:space="preserve">Politician</w:t>
      </w:r>
      <w:r>
        <w:t xml:space="preserve"> </w:t>
      </w:r>
      <w:r>
        <w:t xml:space="preserve">in serving</w:t>
      </w:r>
      <w:r>
        <w:t xml:space="preserve"> </w:t>
      </w:r>
      <w:r>
        <w:rPr>
          <w:bCs/>
          <w:b/>
        </w:rPr>
        <w:t xml:space="preserve">Kuwait</w:t>
      </w:r>
      <w:r>
        <w:t xml:space="preserve"> </w:t>
      </w:r>
      <w:r>
        <w:t xml:space="preserve">and</w:t>
      </w:r>
      <w:r>
        <w:t xml:space="preserve"> </w:t>
      </w:r>
      <w:r>
        <w:rPr>
          <w:bCs/>
          <w:b/>
        </w:rPr>
        <w:t xml:space="preserve">Kuwait City</w:t>
      </w:r>
      <w:r>
        <w:t xml:space="preserve">:</w:t>
      </w:r>
    </w:p>
    <w:p>
      <w:pPr>
        <w:numPr>
          <w:ilvl w:val="0"/>
          <w:numId w:val="1001"/>
        </w:numPr>
        <w:pStyle w:val="Compact"/>
      </w:pPr>
      <w:r>
        <w:rPr>
          <w:bCs/>
          <w:b/>
        </w:rPr>
        <w:t xml:space="preserve">Enhance Legislative Strategy:</w:t>
      </w:r>
      <w:r>
        <w:t xml:space="preserve"> </w:t>
      </w:r>
      <w:r>
        <w:t xml:space="preserve">Collaborate more closely with other members of the National Assembly to build consensus on key bills. Focus on the quality and feasibility of proposals rather than quantity.</w:t>
      </w:r>
    </w:p>
    <w:p>
      <w:pPr>
        <w:numPr>
          <w:ilvl w:val="0"/>
          <w:numId w:val="1001"/>
        </w:numPr>
        <w:pStyle w:val="Compact"/>
      </w:pPr>
      <w:r>
        <w:rPr>
          <w:bCs/>
          <w:b/>
        </w:rPr>
        <w:t xml:space="preserve">Long-Term Urban Planning:</w:t>
      </w:r>
      <w:r>
        <w:t xml:space="preserve"> </w:t>
      </w:r>
      <w:r>
        <w:t xml:space="preserve">Shift focus from short-term municipal fixes to advocating for comprehensive urban planning policies that address the future needs of</w:t>
      </w:r>
      <w:r>
        <w:t xml:space="preserve"> </w:t>
      </w:r>
      <w:r>
        <w:rPr>
          <w:bCs/>
          <w:b/>
        </w:rPr>
        <w:t xml:space="preserve">Kuwait City</w:t>
      </w:r>
      <w:r>
        <w:t xml:space="preserve">.</w:t>
      </w:r>
    </w:p>
    <w:p>
      <w:pPr>
        <w:numPr>
          <w:ilvl w:val="0"/>
          <w:numId w:val="1001"/>
        </w:numPr>
        <w:pStyle w:val="Compact"/>
      </w:pPr>
      <w:r>
        <w:rPr>
          <w:bCs/>
          <w:b/>
        </w:rPr>
        <w:t xml:space="preserve">Improve Digital Literacy:</w:t>
      </w:r>
      <w:r>
        <w:t xml:space="preserve"> </w:t>
      </w:r>
      <w:r>
        <w:t xml:space="preserve">Invest in a more robust digital communication strategy that provides clear, accurate, and detailed information to constituents.</w:t>
      </w:r>
    </w:p>
    <w:p>
      <w:pPr>
        <w:numPr>
          <w:ilvl w:val="0"/>
          <w:numId w:val="1001"/>
        </w:numPr>
        <w:pStyle w:val="Compact"/>
      </w:pPr>
      <w:r>
        <w:rPr>
          <w:bCs/>
          <w:b/>
        </w:rPr>
        <w:t xml:space="preserve">Promote Inclusivity:</w:t>
      </w:r>
      <w:r>
        <w:t xml:space="preserve"> </w:t>
      </w:r>
      <w:r>
        <w:t xml:space="preserve">Adopt a more unifying rhetoric that bridges political divides and encourages constructive participation from all segments of society in</w:t>
      </w:r>
      <w:r>
        <w:t xml:space="preserve"> </w:t>
      </w:r>
      <w:r>
        <w:rPr>
          <w:bCs/>
          <w:b/>
        </w:rPr>
        <w:t xml:space="preserve">Kuwait</w:t>
      </w:r>
      <w:r>
        <w:t xml:space="preserve">.</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offers a balanced assessment of the subject's tenure as a</w:t>
      </w:r>
      <w:r>
        <w:t xml:space="preserve"> </w:t>
      </w:r>
      <w:r>
        <w:rPr>
          <w:bCs/>
          <w:b/>
        </w:rPr>
        <w:t xml:space="preserve">Politician</w:t>
      </w:r>
      <w:r>
        <w:t xml:space="preserve"> </w:t>
      </w:r>
      <w:r>
        <w:t xml:space="preserve">in</w:t>
      </w:r>
      <w:r>
        <w:t xml:space="preserve"> </w:t>
      </w:r>
      <w:r>
        <w:rPr>
          <w:bCs/>
          <w:b/>
        </w:rPr>
        <w:t xml:space="preserve">Kuwait</w:t>
      </w:r>
      <w:r>
        <w:t xml:space="preserve">. While the subject demonstrates strong commitment to constituency service and active participation in parliamentary committees, there is significant room for improvement in legislative effectiveness and strategic communication. By implementing the recommendations outlined in this report, the subject can enhance their contribution to the governance and development of</w:t>
      </w:r>
      <w:r>
        <w:t xml:space="preserve"> </w:t>
      </w:r>
      <w:r>
        <w:rPr>
          <w:bCs/>
          <w:b/>
        </w:rPr>
        <w:t xml:space="preserve">Kuwait City</w:t>
      </w:r>
      <w:r>
        <w:t xml:space="preserve"> </w:t>
      </w:r>
      <w:r>
        <w:t xml:space="preserve">and the nation as a whole.</w:t>
      </w:r>
    </w:p>
    <w:p>
      <w:pPr>
        <w:pStyle w:val="BodyText"/>
      </w:pPr>
      <w:r>
        <w:rPr>
          <w:bCs/>
          <w:b/>
        </w:rPr>
        <w:t xml:space="preserve">Overall Rating:</w:t>
      </w:r>
      <w:r>
        <w:t xml:space="preserve"> </w:t>
      </w:r>
      <w:r>
        <w:t xml:space="preserve">Satisfactory with Areas for Improvement</w:t>
      </w:r>
      <w:r>
        <w:br/>
      </w:r>
      <w:r>
        <w:rPr>
          <w:bCs/>
          <w:b/>
        </w:rPr>
        <w:t xml:space="preserve">Review Panel Chair:</w:t>
      </w:r>
      <w:r>
        <w:t xml:space="preserve"> </w:t>
      </w:r>
      <w:r>
        <w:t xml:space="preserve">Dr. Ahmed Al-Fahad</w:t>
      </w:r>
      <w:r>
        <w:br/>
      </w:r>
      <w:r>
        <w:rPr>
          <w:bCs/>
          <w:b/>
        </w:rPr>
        <w:t xml:space="preserve">Organization:</w:t>
      </w:r>
      <w:r>
        <w:t xml:space="preserve"> </w:t>
      </w:r>
      <w:r>
        <w:t xml:space="preserve">Kuwait Institute for Parliamentary Studies</w:t>
      </w:r>
    </w:p>
    <w:bookmarkEnd w:id="30"/>
    <w:p>
      <w:pPr>
        <w:pStyle w:val="BodyText"/>
      </w:pPr>
      <w:r>
        <w:t xml:space="preserve">© 2023 Kuwait Institute for Parliamentary Studies. All rights reserved. This document is confidential and intended for internal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2026-10-10T12:04:42Z</dcterms:created>
  <dcterms:modified xsi:type="dcterms:W3CDTF">2026-10-10T12:04:42Z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