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peer-review-report"/>
    <w:p>
      <w:pPr>
        <w:pStyle w:val="Heading1"/>
      </w:pPr>
      <w:r>
        <w:t xml:space="preserve">Peer Review Report</w:t>
      </w:r>
    </w:p>
    <w:p>
      <w:pPr>
        <w:pStyle w:val="FirstParagraph"/>
      </w:pPr>
      <w:r>
        <w:t xml:space="preserve">Assessment of Political Leadership and Governance Efficacy</w:t>
      </w:r>
    </w:p>
    <w:p>
      <w:pPr>
        <w:pStyle w:val="BodyText"/>
      </w:pPr>
      <w:r>
        <w:rPr>
          <w:bCs/>
          <w:b/>
        </w:rPr>
        <w:t xml:space="preserve">Subject:</w:t>
      </w:r>
      <w:r>
        <w:t xml:space="preserve"> </w:t>
      </w:r>
      <w:r>
        <w:t xml:space="preserve">Politician (Federal &amp; State Level Representative)</w:t>
      </w:r>
      <w:r>
        <w:br/>
      </w:r>
      <w:r>
        <w:rPr>
          <w:bCs/>
          <w:b/>
        </w:rPr>
        <w:t xml:space="preserve">Region:</w:t>
      </w:r>
      <w:r>
        <w:t xml:space="preserve"> </w:t>
      </w:r>
      <w:r>
        <w:t xml:space="preserve">Malaysia Kuala Lumpur</w:t>
      </w:r>
      <w:r>
        <w:br/>
      </w:r>
      <w:r>
        <w:rPr>
          <w:bCs/>
          <w:b/>
        </w:rPr>
        <w:t xml:space="preserve">Date:</w:t>
      </w:r>
      <w:r>
        <w:t xml:space="preserve"> </w:t>
      </w:r>
      <w:r>
        <w:t xml:space="preserve">October 24, 2023</w:t>
      </w:r>
    </w:p>
    <w:p>
      <w:pPr>
        <w:pStyle w:val="BodyText"/>
      </w:pPr>
      <w:r>
        <w:rPr>
          <w:bCs/>
          <w:b/>
        </w:rPr>
        <w:t xml:space="preserve">Review Body:</w:t>
      </w:r>
      <w:r>
        <w:t xml:space="preserve"> </w:t>
      </w:r>
      <w:r>
        <w:t xml:space="preserve">Independent Governance &amp; Civic Engagement Panel</w:t>
      </w:r>
      <w:r>
        <w:br/>
      </w:r>
      <w:r>
        <w:rPr>
          <w:bCs/>
          <w:b/>
        </w:rPr>
        <w:t xml:space="preserve">Classification:</w:t>
      </w:r>
      <w:r>
        <w:t xml:space="preserve"> </w:t>
      </w:r>
      <w:r>
        <w:t xml:space="preserve">Public Interest / Academic Review</w:t>
      </w:r>
    </w:p>
    <w:bookmarkEnd w:id="20"/>
    <w:p>
      <w:pPr>
        <w:pStyle w:val="BodyText"/>
      </w:pPr>
      <w:r>
        <w:t xml:space="preserve">This</w:t>
      </w:r>
      <w:r>
        <w:t xml:space="preserve"> </w:t>
      </w:r>
      <w:r>
        <w:rPr>
          <w:bCs/>
          <w:b/>
        </w:rPr>
        <w:t xml:space="preserve">Peer Review Report</w:t>
      </w:r>
      <w:r>
        <w:t xml:space="preserve"> </w:t>
      </w:r>
      <w:r>
        <w:t xml:space="preserve">serves as a comprehensive evaluation of the performance, accountability, and strategic vision of a</w:t>
      </w:r>
      <w:r>
        <w:t xml:space="preserve"> </w:t>
      </w:r>
      <w:r>
        <w:rPr>
          <w:bCs/>
          <w:b/>
        </w:rPr>
        <w:t xml:space="preserve">Politician</w:t>
      </w:r>
      <w:r>
        <w:t xml:space="preserve"> </w:t>
      </w:r>
      <w:r>
        <w:t xml:space="preserve">operating within the dynamic socio-political landscape of</w:t>
      </w:r>
      <w:r>
        <w:t xml:space="preserve"> </w:t>
      </w:r>
      <w:r>
        <w:rPr>
          <w:bCs/>
          <w:b/>
        </w:rPr>
        <w:t xml:space="preserve">Malaysia Kuala Lumpur</w:t>
      </w:r>
      <w:r>
        <w:t xml:space="preserve">. As the capital city and economic hub of the nation, Kuala Lumpur presents unique challenges and opportunities that require a high degree of political acumen, administrative competence, and ethical integrity. This document outlines the criteria, findings, and recommendations derived from a rigorous peer assessment process involving stakeholders, policy experts, and civic observers.</w:t>
      </w:r>
    </w:p>
    <w:bookmarkStart w:id="21" w:name="executive-summary"/>
    <w:p>
      <w:pPr>
        <w:pStyle w:val="Heading2"/>
      </w:pPr>
      <w:r>
        <w:t xml:space="preserve">1. Executive Summary</w:t>
      </w:r>
    </w:p>
    <w:p>
      <w:pPr>
        <w:pStyle w:val="FirstParagraph"/>
      </w:pPr>
      <w:r>
        <w:t xml:space="preserve">The primary objective of this review is to assess how effectively the subject</w:t>
      </w:r>
      <w:r>
        <w:t xml:space="preserve"> </w:t>
      </w:r>
      <w:r>
        <w:rPr>
          <w:bCs/>
          <w:b/>
        </w:rPr>
        <w:t xml:space="preserve">Politician</w:t>
      </w:r>
      <w:r>
        <w:t xml:space="preserve"> </w:t>
      </w:r>
      <w:r>
        <w:t xml:space="preserve">addresses the multifaceted needs of the constituents in</w:t>
      </w:r>
      <w:r>
        <w:t xml:space="preserve"> </w:t>
      </w:r>
      <w:r>
        <w:rPr>
          <w:bCs/>
          <w:b/>
        </w:rPr>
        <w:t xml:space="preserve">Malaysia Kuala Lumpur</w:t>
      </w:r>
      <w:r>
        <w:t xml:space="preserve">. The review focuses on key performance indicators including urban development initiatives, public service delivery, transparency in governance, and responsiveness to community concerns. The findings suggest that while there are commendable efforts in infrastructure modernization, significant gaps remain in addressing cost-of-living issues and ensuring equitable resource distribution across diverse demographics in the Federal Territory.</w:t>
      </w:r>
    </w:p>
    <w:bookmarkEnd w:id="21"/>
    <w:bookmarkStart w:id="22" w:name="Xcb150810142b043261f3a762d73ea864b94fa70"/>
    <w:p>
      <w:pPr>
        <w:pStyle w:val="Heading2"/>
      </w:pPr>
      <w:r>
        <w:t xml:space="preserve">2. Contextual Framework: The Kuala Lumpur Landscape</w:t>
      </w:r>
    </w:p>
    <w:p>
      <w:pPr>
        <w:pStyle w:val="FirstParagraph"/>
      </w:pPr>
      <w:r>
        <w:t xml:space="preserve">To accurately evaluate a</w:t>
      </w:r>
      <w:r>
        <w:t xml:space="preserve"> </w:t>
      </w:r>
      <w:r>
        <w:rPr>
          <w:bCs/>
          <w:b/>
        </w:rPr>
        <w:t xml:space="preserve">Politician</w:t>
      </w:r>
      <w:r>
        <w:t xml:space="preserve"> </w:t>
      </w:r>
      <w:r>
        <w:t xml:space="preserve">in this context, one must understand the specific pressures of</w:t>
      </w:r>
      <w:r>
        <w:t xml:space="preserve"> </w:t>
      </w:r>
      <w:r>
        <w:rPr>
          <w:bCs/>
          <w:b/>
        </w:rPr>
        <w:t xml:space="preserve">Malaysia Kuala Lumpur</w:t>
      </w:r>
      <w:r>
        <w:t xml:space="preserve">. The city is characterized by rapid urbanization, a multicultural population, and a complex interplay between federal and state-level governance. A successful political leader must navigate these complexities while maintaining public trust. This</w:t>
      </w:r>
      <w:r>
        <w:t xml:space="preserve"> </w:t>
      </w:r>
      <w:r>
        <w:rPr>
          <w:bCs/>
          <w:b/>
        </w:rPr>
        <w:t xml:space="preserve">Peer Review Report</w:t>
      </w:r>
      <w:r>
        <w:t xml:space="preserve"> </w:t>
      </w:r>
      <w:r>
        <w:t xml:space="preserve">emphasizes that leadership in this region requires not only legislative skill but also the ability to foster social cohesion and drive sustainable economic growth.</w:t>
      </w:r>
    </w:p>
    <w:p>
      <w:pPr>
        <w:pStyle w:val="BodyText"/>
      </w:pPr>
      <w:r>
        <w:t xml:space="preserve">The review considers the unique challenges of Kuala Lumpur, including traffic congestion, housing affordability, environmental sustainability, and the digital transformation of public services. The</w:t>
      </w:r>
      <w:r>
        <w:t xml:space="preserve"> </w:t>
      </w:r>
      <w:r>
        <w:rPr>
          <w:bCs/>
          <w:b/>
        </w:rPr>
        <w:t xml:space="preserve">Politician</w:t>
      </w:r>
      <w:r>
        <w:t xml:space="preserve"> </w:t>
      </w:r>
      <w:r>
        <w:t xml:space="preserve">is expected to demonstrate a clear vision that aligns with the broader national goals while addressing the immediate, localized needs of Kuala Lumpur residents.</w:t>
      </w:r>
    </w:p>
    <w:bookmarkEnd w:id="22"/>
    <w:bookmarkStart w:id="23" w:name="evaluation-criteria"/>
    <w:p>
      <w:pPr>
        <w:pStyle w:val="Heading2"/>
      </w:pPr>
      <w:r>
        <w:t xml:space="preserve">3. Evaluation Criteria</w:t>
      </w:r>
    </w:p>
    <w:p>
      <w:pPr>
        <w:pStyle w:val="FirstParagraph"/>
      </w:pPr>
      <w:r>
        <w:t xml:space="preserve">The assessment of the</w:t>
      </w:r>
      <w:r>
        <w:t xml:space="preserve"> </w:t>
      </w:r>
      <w:r>
        <w:rPr>
          <w:bCs/>
          <w:b/>
        </w:rPr>
        <w:t xml:space="preserve">Politician</w:t>
      </w:r>
      <w:r>
        <w:t xml:space="preserve"> </w:t>
      </w:r>
      <w:r>
        <w:t xml:space="preserve">was conducted based on the following core pillars, tailored to the governance standards expected in</w:t>
      </w:r>
      <w:r>
        <w:t xml:space="preserve"> </w:t>
      </w:r>
      <w:r>
        <w:rPr>
          <w:bCs/>
          <w:b/>
        </w:rPr>
        <w:t xml:space="preserve">Malaysia Kuala Lumpur</w:t>
      </w:r>
      <w:r>
        <w:t xml:space="preserve">:</w:t>
      </w:r>
    </w:p>
    <w:p>
      <w:pPr>
        <w:numPr>
          <w:ilvl w:val="0"/>
          <w:numId w:val="1001"/>
        </w:numPr>
        <w:pStyle w:val="Compact"/>
      </w:pPr>
      <w:r>
        <w:rPr>
          <w:bCs/>
          <w:b/>
        </w:rPr>
        <w:t xml:space="preserve">Policy Formulation and Implementation:</w:t>
      </w:r>
      <w:r>
        <w:t xml:space="preserve"> </w:t>
      </w:r>
      <w:r>
        <w:t xml:space="preserve">Ability to draft, advocate for, and execute policies that improve the quality of life in Kuala Lumpur.</w:t>
      </w:r>
    </w:p>
    <w:p>
      <w:pPr>
        <w:numPr>
          <w:ilvl w:val="0"/>
          <w:numId w:val="1001"/>
        </w:numPr>
        <w:pStyle w:val="Compact"/>
      </w:pPr>
      <w:r>
        <w:rPr>
          <w:bCs/>
          <w:b/>
        </w:rPr>
        <w:t xml:space="preserve">Constituency Engagement:</w:t>
      </w:r>
      <w:r>
        <w:t xml:space="preserve"> </w:t>
      </w:r>
      <w:r>
        <w:t xml:space="preserve">Responsiveness to the concerns of voters, including accessibility and transparency in communication.</w:t>
      </w:r>
    </w:p>
    <w:p>
      <w:pPr>
        <w:numPr>
          <w:ilvl w:val="0"/>
          <w:numId w:val="1001"/>
        </w:numPr>
        <w:pStyle w:val="Compact"/>
      </w:pPr>
      <w:r>
        <w:rPr>
          <w:bCs/>
          <w:b/>
        </w:rPr>
        <w:t xml:space="preserve">Ethical Governance:</w:t>
      </w:r>
      <w:r>
        <w:t xml:space="preserve"> </w:t>
      </w:r>
      <w:r>
        <w:t xml:space="preserve">Adherence to anti-corruption standards and ethical conduct, crucial for maintaining public confidence in Malaysian politics.</w:t>
      </w:r>
    </w:p>
    <w:p>
      <w:pPr>
        <w:numPr>
          <w:ilvl w:val="0"/>
          <w:numId w:val="1001"/>
        </w:numPr>
        <w:pStyle w:val="Compact"/>
      </w:pPr>
      <w:r>
        <w:rPr>
          <w:bCs/>
          <w:b/>
        </w:rPr>
        <w:t xml:space="preserve">Urban Development Strategy:</w:t>
      </w:r>
      <w:r>
        <w:t xml:space="preserve"> </w:t>
      </w:r>
      <w:r>
        <w:t xml:space="preserve">Contribution to sustainable urban planning, including public transport integration and green space preservation.</w:t>
      </w:r>
    </w:p>
    <w:p>
      <w:pPr>
        <w:numPr>
          <w:ilvl w:val="0"/>
          <w:numId w:val="1001"/>
        </w:numPr>
        <w:pStyle w:val="Compact"/>
      </w:pPr>
      <w:r>
        <w:rPr>
          <w:bCs/>
          <w:b/>
        </w:rPr>
        <w:t xml:space="preserve">Crisis Management:</w:t>
      </w:r>
      <w:r>
        <w:t xml:space="preserve"> </w:t>
      </w:r>
      <w:r>
        <w:t xml:space="preserve">Effectiveness in handling emergencies, such as public health crises or infrastructure failures, within the Kuala Lumpur jurisdiction.</w:t>
      </w:r>
    </w:p>
    <w:bookmarkEnd w:id="23"/>
    <w:bookmarkStart w:id="27" w:name="detailed-findings"/>
    <w:p>
      <w:pPr>
        <w:pStyle w:val="Heading2"/>
      </w:pPr>
      <w:r>
        <w:t xml:space="preserve">4. Detailed Findings</w:t>
      </w:r>
    </w:p>
    <w:bookmarkStart w:id="24" w:name="Xdd47ff13277e9eb2c70199ec7e2507e76a79c30"/>
    <w:p>
      <w:pPr>
        <w:pStyle w:val="Heading3"/>
      </w:pPr>
      <w:r>
        <w:t xml:space="preserve">4.1 Policy Effectiveness and Urban Development</w:t>
      </w:r>
    </w:p>
    <w:p>
      <w:pPr>
        <w:pStyle w:val="FirstParagraph"/>
      </w:pPr>
      <w:r>
        <w:t xml:space="preserve">The</w:t>
      </w:r>
      <w:r>
        <w:t xml:space="preserve"> </w:t>
      </w:r>
      <w:r>
        <w:rPr>
          <w:bCs/>
          <w:b/>
        </w:rPr>
        <w:t xml:space="preserve">Politician</w:t>
      </w:r>
      <w:r>
        <w:t xml:space="preserve"> </w:t>
      </w:r>
      <w:r>
        <w:t xml:space="preserve">has shown a proactive approach in advocating for infrastructure projects that align with the vision of a smart city in</w:t>
      </w:r>
      <w:r>
        <w:t xml:space="preserve"> </w:t>
      </w:r>
      <w:r>
        <w:rPr>
          <w:bCs/>
          <w:b/>
        </w:rPr>
        <w:t xml:space="preserve">Malaysia Kuala Lumpur</w:t>
      </w:r>
      <w:r>
        <w:t xml:space="preserve">. Initiatives related to public transportation connectivity and digital infrastructure have been noted as positive steps. However, the</w:t>
      </w:r>
      <w:r>
        <w:t xml:space="preserve"> </w:t>
      </w:r>
      <w:r>
        <w:rPr>
          <w:bCs/>
          <w:b/>
        </w:rPr>
        <w:t xml:space="preserve">Peer Review Report</w:t>
      </w:r>
      <w:r>
        <w:t xml:space="preserve"> </w:t>
      </w:r>
      <w:r>
        <w:t xml:space="preserve">identifies a need for more robust oversight mechanisms to ensure these projects are completed on time and within budget. There is also a call for greater emphasis on affordable housing solutions to address the growing disparity in living costs within the capital.</w:t>
      </w:r>
    </w:p>
    <w:bookmarkEnd w:id="24"/>
    <w:bookmarkStart w:id="25" w:name="Xd378336852e20643a0a3c32a076de38688c4ef0"/>
    <w:p>
      <w:pPr>
        <w:pStyle w:val="Heading3"/>
      </w:pPr>
      <w:r>
        <w:t xml:space="preserve">4.2 Constituency Engagement and Responsiveness</w:t>
      </w:r>
    </w:p>
    <w:p>
      <w:pPr>
        <w:pStyle w:val="FirstParagraph"/>
      </w:pPr>
      <w:r>
        <w:t xml:space="preserve">Engagement with the diverse communities of Kuala Lumpur is a critical metric. The review finds that while the</w:t>
      </w:r>
      <w:r>
        <w:t xml:space="preserve"> </w:t>
      </w:r>
      <w:r>
        <w:rPr>
          <w:bCs/>
          <w:b/>
        </w:rPr>
        <w:t xml:space="preserve">Politician</w:t>
      </w:r>
      <w:r>
        <w:t xml:space="preserve"> </w:t>
      </w:r>
      <w:r>
        <w:t xml:space="preserve">maintains a visible presence through traditional town halls and social media, there is room for improvement in grassroots-level interaction. Feedback from various community groups suggests that while high-level issues are addressed, localized concerns such as neighborhood maintenance and small business support often receive delayed responses. Enhancing digital platforms for real-time constituent feedback could significantly improve this aspect.</w:t>
      </w:r>
    </w:p>
    <w:bookmarkEnd w:id="25"/>
    <w:bookmarkStart w:id="26" w:name="ethical-standards-and-transparency"/>
    <w:p>
      <w:pPr>
        <w:pStyle w:val="Heading3"/>
      </w:pPr>
      <w:r>
        <w:t xml:space="preserve">4.3 Ethical Standards and Transparency</w:t>
      </w:r>
    </w:p>
    <w:p>
      <w:pPr>
        <w:pStyle w:val="FirstParagraph"/>
      </w:pPr>
      <w:r>
        <w:t xml:space="preserve">Integrity is paramount for any</w:t>
      </w:r>
      <w:r>
        <w:t xml:space="preserve"> </w:t>
      </w:r>
      <w:r>
        <w:rPr>
          <w:bCs/>
          <w:b/>
        </w:rPr>
        <w:t xml:space="preserve">Politician</w:t>
      </w:r>
      <w:r>
        <w:t xml:space="preserve"> </w:t>
      </w:r>
      <w:r>
        <w:t xml:space="preserve">in</w:t>
      </w:r>
      <w:r>
        <w:t xml:space="preserve"> </w:t>
      </w:r>
      <w:r>
        <w:rPr>
          <w:bCs/>
          <w:b/>
        </w:rPr>
        <w:t xml:space="preserve">Malaysia Kuala Lumpur</w:t>
      </w:r>
      <w:r>
        <w:t xml:space="preserve">. This</w:t>
      </w:r>
      <w:r>
        <w:t xml:space="preserve"> </w:t>
      </w:r>
      <w:r>
        <w:rPr>
          <w:bCs/>
          <w:b/>
        </w:rPr>
        <w:t xml:space="preserve">Peer Review Report</w:t>
      </w:r>
      <w:r>
        <w:t xml:space="preserve"> </w:t>
      </w:r>
      <w:r>
        <w:t xml:space="preserve">confirms that the subject has generally adhered to declared ethical guidelines. However, the complexity of political alliances and funding sources necessitates even greater transparency. Recommendations include the publication of more detailed reports on constituency fund utilization to ensure that resources are allocated fairly and without bias.</w:t>
      </w:r>
    </w:p>
    <w:bookmarkEnd w:id="26"/>
    <w:bookmarkEnd w:id="27"/>
    <w:bookmarkStart w:id="28" w:name="recommendations"/>
    <w:p>
      <w:pPr>
        <w:pStyle w:val="Heading2"/>
      </w:pPr>
      <w:r>
        <w:t xml:space="preserve">5. Recommendations</w:t>
      </w:r>
    </w:p>
    <w:p>
      <w:pPr>
        <w:pStyle w:val="FirstParagraph"/>
      </w:pPr>
      <w:r>
        <w:t xml:space="preserve">Based on the comprehensive analysis provided in this</w:t>
      </w:r>
      <w:r>
        <w:t xml:space="preserve"> </w:t>
      </w:r>
      <w:r>
        <w:rPr>
          <w:bCs/>
          <w:b/>
        </w:rPr>
        <w:t xml:space="preserve">Peer Review Report</w:t>
      </w:r>
      <w:r>
        <w:t xml:space="preserve">, the following recommendations are proposed for the</w:t>
      </w:r>
      <w:r>
        <w:t xml:space="preserve"> </w:t>
      </w:r>
      <w:r>
        <w:rPr>
          <w:bCs/>
          <w:b/>
        </w:rPr>
        <w:t xml:space="preserve">Politician</w:t>
      </w:r>
      <w:r>
        <w:t xml:space="preserve"> </w:t>
      </w:r>
      <w:r>
        <w:t xml:space="preserve">to enhance their effectiveness in serving</w:t>
      </w:r>
      <w:r>
        <w:t xml:space="preserve"> </w:t>
      </w:r>
      <w:r>
        <w:rPr>
          <w:bCs/>
          <w:b/>
        </w:rPr>
        <w:t xml:space="preserve">Malaysia Kuala Lumpur</w:t>
      </w:r>
      <w:r>
        <w:t xml:space="preserve">:</w:t>
      </w:r>
    </w:p>
    <w:p>
      <w:pPr>
        <w:numPr>
          <w:ilvl w:val="0"/>
          <w:numId w:val="1002"/>
        </w:numPr>
        <w:pStyle w:val="Compact"/>
      </w:pPr>
      <w:r>
        <w:rPr>
          <w:bCs/>
          <w:b/>
        </w:rPr>
        <w:t xml:space="preserve">Strengthen Local Governance Collaboration:</w:t>
      </w:r>
      <w:r>
        <w:t xml:space="preserve"> </w:t>
      </w:r>
      <w:r>
        <w:t xml:space="preserve">Work more closely with the Kuala Lumpur City Hall (DBKL) to streamline service delivery and reduce bureaucratic bottlenecks.</w:t>
      </w:r>
    </w:p>
    <w:p>
      <w:pPr>
        <w:numPr>
          <w:ilvl w:val="0"/>
          <w:numId w:val="1002"/>
        </w:numPr>
        <w:pStyle w:val="Compact"/>
      </w:pPr>
      <w:r>
        <w:rPr>
          <w:bCs/>
          <w:b/>
        </w:rPr>
        <w:t xml:space="preserve">Enhance Digital Transparency:</w:t>
      </w:r>
      <w:r>
        <w:t xml:space="preserve"> </w:t>
      </w:r>
      <w:r>
        <w:t xml:space="preserve">Implement open-data initiatives that allow citizens to track the progress of development projects and the usage of public funds.</w:t>
      </w:r>
    </w:p>
    <w:p>
      <w:pPr>
        <w:numPr>
          <w:ilvl w:val="0"/>
          <w:numId w:val="1002"/>
        </w:numPr>
        <w:pStyle w:val="Compact"/>
      </w:pPr>
      <w:r>
        <w:rPr>
          <w:bCs/>
          <w:b/>
        </w:rPr>
        <w:t xml:space="preserve">Focus on Cost-of-Living Measures:</w:t>
      </w:r>
      <w:r>
        <w:t xml:space="preserve"> </w:t>
      </w:r>
      <w:r>
        <w:t xml:space="preserve">Prioritize policies that directly alleviate financial pressure on middle- and lower-income families in the Federal Territory.</w:t>
      </w:r>
    </w:p>
    <w:p>
      <w:pPr>
        <w:numPr>
          <w:ilvl w:val="0"/>
          <w:numId w:val="1002"/>
        </w:numPr>
        <w:pStyle w:val="Compact"/>
      </w:pPr>
      <w:r>
        <w:rPr>
          <w:bCs/>
          <w:b/>
        </w:rPr>
        <w:t xml:space="preserve">Inclusive Policy Dialogue:</w:t>
      </w:r>
      <w:r>
        <w:t xml:space="preserve"> </w:t>
      </w:r>
      <w:r>
        <w:t xml:space="preserve">Establish regular forums with youth groups, business owners, and marginalized communities to ensure policy decisions reflect the true diversity of Kuala Lumpur.</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provides a balanced assessment of the</w:t>
      </w:r>
      <w:r>
        <w:t xml:space="preserve"> </w:t>
      </w:r>
      <w:r>
        <w:rPr>
          <w:bCs/>
          <w:b/>
        </w:rPr>
        <w:t xml:space="preserve">Politician</w:t>
      </w:r>
      <w:r>
        <w:t xml:space="preserve">'s performance within the challenging environment of</w:t>
      </w:r>
      <w:r>
        <w:t xml:space="preserve"> </w:t>
      </w:r>
      <w:r>
        <w:rPr>
          <w:bCs/>
          <w:b/>
        </w:rPr>
        <w:t xml:space="preserve">Malaysia Kuala Lumpur</w:t>
      </w:r>
      <w:r>
        <w:t xml:space="preserve">. While there are notable achievements in strategic planning and visibility, the path to exemplary leadership requires a deeper commitment to transparency, grassroots engagement, and equitable development. By addressing the recommendations outlined herein, the</w:t>
      </w:r>
      <w:r>
        <w:t xml:space="preserve"> </w:t>
      </w:r>
      <w:r>
        <w:rPr>
          <w:bCs/>
          <w:b/>
        </w:rPr>
        <w:t xml:space="preserve">Politician</w:t>
      </w:r>
      <w:r>
        <w:t xml:space="preserve"> </w:t>
      </w:r>
      <w:r>
        <w:t xml:space="preserve">can significantly enhance their contribution to the prosperity and well-being of Kuala Lumpur's residents. Continuous evaluation and adaptation are essential to meet the evolving needs of this vibrant capital city.</w:t>
      </w:r>
    </w:p>
    <w:p>
      <w:pPr>
        <w:pStyle w:val="BodyText"/>
      </w:pPr>
      <w:r>
        <w:rPr>
          <w:bCs/>
          <w:b/>
        </w:rPr>
        <w:t xml:space="preserve">Disclaimer:</w:t>
      </w:r>
      <w:r>
        <w:t xml:space="preserve"> </w:t>
      </w:r>
      <w:r>
        <w:t xml:space="preserve">This document is a simulated Peer Review Report for educational and illustrative purposes. It does not refer to any specific individual or real-world political entity unless explicitly stated. All content is generated based on general governance principles applicable to Malaysia Kuala Lumpur.</w:t>
      </w:r>
    </w:p>
    <w:p>
      <w:pPr>
        <w:pStyle w:val="BodyText"/>
      </w:pPr>
      <w:r>
        <w:t xml:space="preserve">© 2023 Independent Governance &amp; Civic Engagement Panel.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2026-10-10T08:14:48Z</dcterms:created>
  <dcterms:modified xsi:type="dcterms:W3CDTF">2026-10-10T08:14:48Z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