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Assessment of a Politician</w:t>
      </w:r>
    </w:p>
    <w:p>
      <w:pPr>
        <w:pStyle w:val="BodyText"/>
      </w:pPr>
      <w:r>
        <w:rPr>
          <w:bCs/>
          <w:b/>
        </w:rPr>
        <w:t xml:space="preserve">Location:</w:t>
      </w:r>
      <w:r>
        <w:t xml:space="preserve"> </w:t>
      </w:r>
      <w:r>
        <w:t xml:space="preserve">Casablanca, Morocco</w:t>
      </w:r>
    </w:p>
    <w:bookmarkEnd w:id="20"/>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PR-CASA-2023-089</w:t>
      </w:r>
    </w:p>
    <w:p>
      <w:pPr>
        <w:pStyle w:val="BodyText"/>
      </w:pPr>
      <w:r>
        <w:rPr>
          <w:bCs/>
          <w:b/>
        </w:rPr>
        <w:t xml:space="preserve">Reviewer Panel:</w:t>
      </w:r>
      <w:r>
        <w:t xml:space="preserve"> </w:t>
      </w:r>
      <w:r>
        <w:t xml:space="preserve">Independent Governance &amp; Civic Engagement Committee</w:t>
      </w:r>
    </w:p>
    <w:p>
      <w:pPr>
        <w:pStyle w:val="BodyText"/>
      </w:pPr>
      <w:r>
        <w:rPr>
          <w:bCs/>
          <w:b/>
        </w:rPr>
        <w:t xml:space="preserve">Scope:</w:t>
      </w:r>
      <w:r>
        <w:t xml:space="preserve"> </w:t>
      </w:r>
      <w:r>
        <w:t xml:space="preserve">Municipal and National Policy Impact in the Greater Casablanca Region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conduct, policy implementation, and civic engagement of a designated</w:t>
      </w:r>
      <w:r>
        <w:t xml:space="preserve"> </w:t>
      </w:r>
      <w:r>
        <w:rPr>
          <w:bCs/>
          <w:b/>
        </w:rPr>
        <w:t xml:space="preserve">Politician</w:t>
      </w:r>
      <w:r>
        <w:t xml:space="preserve"> </w:t>
      </w:r>
      <w:r>
        <w:t xml:space="preserve">operating within the jurisdiction of</w:t>
      </w:r>
      <w:r>
        <w:t xml:space="preserve"> </w:t>
      </w:r>
      <w:r>
        <w:rPr>
          <w:bCs/>
          <w:b/>
        </w:rPr>
        <w:t xml:space="preserve">Morocco Casablanca</w:t>
      </w:r>
      <w:r>
        <w:t xml:space="preserve">. As the economic capital of the Kingdom, Casablanca presents a unique landscape of challenges and opportunities, ranging from urban infrastructure development to labor market dynamics. This document aims to assess the subject's alignment with democratic principles, administrative efficiency, and responsiveness to the needs of the Casablancaite population.</w:t>
      </w:r>
    </w:p>
    <w:p>
      <w:pPr>
        <w:pStyle w:val="BodyText"/>
      </w:pPr>
      <w:r>
        <w:t xml:space="preserve">The review process involved an analysis of legislative records, public statements, stakeholder interviews, and comparative performance metrics against regional benchmarks. The findings indicate a mixed performance profile, highlighting significant achievements in economic advocacy while identifying critical gaps in social inclusivity and transparency.</w:t>
      </w:r>
    </w:p>
    <w:bookmarkEnd w:id="21"/>
    <w:bookmarkStart w:id="22" w:name="X6e631addc657dce385cf9944a8065daef4e47ae"/>
    <w:p>
      <w:pPr>
        <w:pStyle w:val="Heading2"/>
      </w:pPr>
      <w:r>
        <w:t xml:space="preserve">2. Contextual Framework: The Casablanca Environment</w:t>
      </w:r>
    </w:p>
    <w:p>
      <w:pPr>
        <w:pStyle w:val="FirstParagraph"/>
      </w:pPr>
      <w:r>
        <w:t xml:space="preserve">To accurately evaluate a</w:t>
      </w:r>
      <w:r>
        <w:t xml:space="preserve"> </w:t>
      </w:r>
      <w:r>
        <w:rPr>
          <w:bCs/>
          <w:b/>
        </w:rPr>
        <w:t xml:space="preserve">Politician</w:t>
      </w:r>
      <w:r>
        <w:t xml:space="preserve"> </w:t>
      </w:r>
      <w:r>
        <w:t xml:space="preserve">in</w:t>
      </w:r>
      <w:r>
        <w:t xml:space="preserve"> </w:t>
      </w:r>
      <w:r>
        <w:rPr>
          <w:bCs/>
          <w:b/>
        </w:rPr>
        <w:t xml:space="preserve">Morocco Casablanca</w:t>
      </w:r>
      <w:r>
        <w:t xml:space="preserve">, one must understand the specific socio-political context. Casablanca is not merely a city; it is the engine of the Moroccan economy, hosting the largest port in the Maghreb and a burgeoning financial district. Consequently, the expectations placed upon political leaders here are distinct from those in rural or smaller urban centers.</w:t>
      </w:r>
    </w:p>
    <w:p>
      <w:pPr>
        <w:pStyle w:val="BodyText"/>
      </w:pPr>
      <w:r>
        <w:t xml:space="preserve">The primary concerns of the electorate in this region include housing affordability, traffic congestion, unemployment among youth, and the preservation of cultural heritage amidst rapid modernization. A successful political figure in this arena must demonstrate the ability to navigate complex bureaucratic structures while maintaining a direct line of communication with a diverse, cosmopolitan populace. This</w:t>
      </w:r>
      <w:r>
        <w:t xml:space="preserve"> </w:t>
      </w:r>
      <w:r>
        <w:rPr>
          <w:bCs/>
          <w:b/>
        </w:rPr>
        <w:t xml:space="preserve">Peer Review Report</w:t>
      </w:r>
      <w:r>
        <w:t xml:space="preserve"> </w:t>
      </w:r>
      <w:r>
        <w:t xml:space="preserve">utilizes these local realities as the baseline for assessment.</w:t>
      </w:r>
    </w:p>
    <w:bookmarkEnd w:id="22"/>
    <w:bookmarkStart w:id="25" w:name="X1548f62087de5710990b5607cdc00d35bff12ac"/>
    <w:p>
      <w:pPr>
        <w:pStyle w:val="Heading2"/>
      </w:pPr>
      <w:r>
        <w:t xml:space="preserve">3. Assessment of Legislative and Administrative Performance</w:t>
      </w:r>
    </w:p>
    <w:bookmarkStart w:id="23" w:name="economic-development-and-urban-planning"/>
    <w:p>
      <w:pPr>
        <w:pStyle w:val="Heading3"/>
      </w:pPr>
      <w:r>
        <w:t xml:space="preserve">3.1 Economic Development and Urban Planning</w:t>
      </w:r>
    </w:p>
    <w:p>
      <w:pPr>
        <w:pStyle w:val="FirstParagraph"/>
      </w:pPr>
      <w:r>
        <w:t xml:space="preserve">The subject has demonstrated a strong commitment to fostering economic growth within</w:t>
      </w:r>
      <w:r>
        <w:t xml:space="preserve"> </w:t>
      </w:r>
      <w:r>
        <w:rPr>
          <w:bCs/>
          <w:b/>
        </w:rPr>
        <w:t xml:space="preserve">Morocco Casablanca</w:t>
      </w:r>
      <w:r>
        <w:t xml:space="preserve">. Initiatives aimed at supporting small and medium-sized enterprises (SMEs) in the industrial zones of Ain Sebaa and Sidi Bernoussi have been notably effective. The</w:t>
      </w:r>
      <w:r>
        <w:t xml:space="preserve"> </w:t>
      </w:r>
      <w:r>
        <w:rPr>
          <w:bCs/>
          <w:b/>
        </w:rPr>
        <w:t xml:space="preserve">Politician</w:t>
      </w:r>
      <w:r>
        <w:t xml:space="preserve"> </w:t>
      </w:r>
      <w:r>
        <w:t xml:space="preserve">successfully lobbied for tax incentives that attracted foreign direct investment, contributing to job creation in the manufacturing sector.</w:t>
      </w:r>
    </w:p>
    <w:p>
      <w:pPr>
        <w:pStyle w:val="BodyText"/>
      </w:pPr>
      <w:r>
        <w:t xml:space="preserve">However, the review notes a discrepancy in urban planning oversight. While commercial districts have flourished, the integration of affordable housing projects remains sluggish. The peer review panel observes that the current pace of development does not adequately address the housing crisis facing low-income families in the periphery of Casablanca.</w:t>
      </w:r>
    </w:p>
    <w:bookmarkEnd w:id="23"/>
    <w:bookmarkStart w:id="24" w:name="infrastructure-and-public-services"/>
    <w:p>
      <w:pPr>
        <w:pStyle w:val="Heading3"/>
      </w:pPr>
      <w:r>
        <w:t xml:space="preserve">3.2 Infrastructure and Public Services</w:t>
      </w:r>
    </w:p>
    <w:p>
      <w:pPr>
        <w:pStyle w:val="FirstParagraph"/>
      </w:pPr>
      <w:r>
        <w:t xml:space="preserve">In terms of infrastructure, the</w:t>
      </w:r>
      <w:r>
        <w:t xml:space="preserve"> </w:t>
      </w:r>
      <w:r>
        <w:rPr>
          <w:bCs/>
          <w:b/>
        </w:rPr>
        <w:t xml:space="preserve">Politician</w:t>
      </w:r>
      <w:r>
        <w:t xml:space="preserve"> </w:t>
      </w:r>
      <w:r>
        <w:t xml:space="preserve">has been a vocal advocate for the expansion of the Tramway network and the improvement of road connectivity. This aligns well with the strategic vision for a modern Casablanca. Nevertheless, the execution phase of these projects has faced delays, raising questions about the subject's ability to enforce accountability among municipal contractors.</w:t>
      </w:r>
    </w:p>
    <w:bookmarkEnd w:id="24"/>
    <w:bookmarkEnd w:id="25"/>
    <w:bookmarkStart w:id="26" w:name="civic-engagement-and-communication"/>
    <w:p>
      <w:pPr>
        <w:pStyle w:val="Heading2"/>
      </w:pPr>
      <w:r>
        <w:t xml:space="preserve">4. Civic Engagement and Communication</w:t>
      </w:r>
    </w:p>
    <w:p>
      <w:pPr>
        <w:pStyle w:val="FirstParagraph"/>
      </w:pPr>
      <w:r>
        <w:t xml:space="preserve">A critical component of this</w:t>
      </w:r>
      <w:r>
        <w:t xml:space="preserve"> </w:t>
      </w:r>
      <w:r>
        <w:rPr>
          <w:bCs/>
          <w:b/>
        </w:rPr>
        <w:t xml:space="preserve">Peer Review Report</w:t>
      </w:r>
      <w:r>
        <w:t xml:space="preserve"> </w:t>
      </w:r>
      <w:r>
        <w:t xml:space="preserve">is the evaluation of how the</w:t>
      </w:r>
      <w:r>
        <w:t xml:space="preserve"> </w:t>
      </w:r>
      <w:r>
        <w:rPr>
          <w:bCs/>
          <w:b/>
        </w:rPr>
        <w:t xml:space="preserve">Politician</w:t>
      </w:r>
      <w:r>
        <w:t xml:space="preserve"> </w:t>
      </w:r>
      <w:r>
        <w:t xml:space="preserve">interacts with the citizens of</w:t>
      </w:r>
      <w:r>
        <w:t xml:space="preserve"> </w:t>
      </w:r>
      <w:r>
        <w:rPr>
          <w:bCs/>
          <w:b/>
        </w:rPr>
        <w:t xml:space="preserve">Morocco Casablanca</w:t>
      </w:r>
      <w:r>
        <w:t xml:space="preserve">. The subject maintains an active presence on digital platforms, which is essential for reaching the city's large youth demographic. Town hall meetings have been organized regularly, providing a forum for direct dialogue.</w:t>
      </w:r>
    </w:p>
    <w:p>
      <w:pPr>
        <w:pStyle w:val="BodyText"/>
      </w:pPr>
      <w:r>
        <w:t xml:space="preserve">Despite these efforts, feedback from civil society organizations suggests a perception of elitism. Critics argue that the</w:t>
      </w:r>
      <w:r>
        <w:t xml:space="preserve"> </w:t>
      </w:r>
      <w:r>
        <w:rPr>
          <w:bCs/>
          <w:b/>
        </w:rPr>
        <w:t xml:space="preserve">Politician</w:t>
      </w:r>
      <w:r>
        <w:t xml:space="preserve"> </w:t>
      </w:r>
      <w:r>
        <w:t xml:space="preserve">tends to prioritize engagement with business leaders and established elites over marginalized communities. To truly serve the diverse fabric of Casablanca, a more balanced approach to stakeholder engagement is required.</w:t>
      </w:r>
    </w:p>
    <w:bookmarkEnd w:id="26"/>
    <w:bookmarkStart w:id="27" w:name="ethical-standards-and-transparency"/>
    <w:p>
      <w:pPr>
        <w:pStyle w:val="Heading2"/>
      </w:pPr>
      <w:r>
        <w:t xml:space="preserve">5. Ethical Standards and Transparency</w:t>
      </w:r>
    </w:p>
    <w:p>
      <w:pPr>
        <w:pStyle w:val="FirstParagraph"/>
      </w:pPr>
      <w:r>
        <w:t xml:space="preserve">Integrity is paramount for any public servant. This review examined the subject's adherence to ethical guidelines and transparency laws. No major instances of corruption or conflict of interest were identified during the review period. The</w:t>
      </w:r>
      <w:r>
        <w:t xml:space="preserve"> </w:t>
      </w:r>
      <w:r>
        <w:rPr>
          <w:bCs/>
          <w:b/>
        </w:rPr>
        <w:t xml:space="preserve">Politician</w:t>
      </w:r>
      <w:r>
        <w:t xml:space="preserve"> </w:t>
      </w:r>
      <w:r>
        <w:t xml:space="preserve">has generally complied with asset declaration requirements.</w:t>
      </w:r>
    </w:p>
    <w:p>
      <w:pPr>
        <w:pStyle w:val="BodyText"/>
      </w:pPr>
      <w:r>
        <w:t xml:space="preserve">However, the opacity surrounding certain procurement decisions related to municipal contracts warrants further scrutiny. The peer review panel recommends the implementation of stricter oversight mechanisms to ensure that all dealings are above reproach, thereby reinforcing public trust in the political system of</w:t>
      </w:r>
      <w:r>
        <w:t xml:space="preserve"> </w:t>
      </w:r>
      <w:r>
        <w:rPr>
          <w:bCs/>
          <w:b/>
        </w:rPr>
        <w:t xml:space="preserve">Morocco Casablanca</w:t>
      </w:r>
      <w:r>
        <w:t xml:space="preserve">.</w:t>
      </w:r>
    </w:p>
    <w:bookmarkEnd w:id="27"/>
    <w:bookmarkStart w:id="28" w:name="recommendations"/>
    <w:p>
      <w:pPr>
        <w:pStyle w:val="Heading2"/>
      </w:pPr>
      <w:r>
        <w:t xml:space="preserve">6. Recommendations</w:t>
      </w:r>
    </w:p>
    <w:p>
      <w:pPr>
        <w:pStyle w:val="FirstParagraph"/>
      </w:pPr>
      <w:r>
        <w:t xml:space="preserve">Based on the findings detailed in this</w:t>
      </w:r>
      <w:r>
        <w:t xml:space="preserve"> </w:t>
      </w:r>
      <w:r>
        <w:rPr>
          <w:bCs/>
          <w:b/>
        </w:rPr>
        <w:t xml:space="preserve">Peer Review Report</w:t>
      </w:r>
      <w:r>
        <w:t xml:space="preserve">, the following recommendations are proposed for the</w:t>
      </w:r>
      <w:r>
        <w:t xml:space="preserve"> </w:t>
      </w:r>
      <w:r>
        <w:rPr>
          <w:bCs/>
          <w:b/>
        </w:rPr>
        <w:t xml:space="preserve">Politician</w:t>
      </w:r>
      <w:r>
        <w:t xml:space="preserve"> </w:t>
      </w:r>
      <w:r>
        <w:t xml:space="preserve">to enhance their effectiveness and public standing in</w:t>
      </w:r>
      <w:r>
        <w:t xml:space="preserve"> </w:t>
      </w:r>
      <w:r>
        <w:rPr>
          <w:bCs/>
          <w:b/>
        </w:rPr>
        <w:t xml:space="preserve">Morocco Casablanca</w:t>
      </w:r>
      <w:r>
        <w:t xml:space="preserve">:</w:t>
      </w:r>
    </w:p>
    <w:p>
      <w:pPr>
        <w:numPr>
          <w:ilvl w:val="0"/>
          <w:numId w:val="1001"/>
        </w:numPr>
        <w:pStyle w:val="Compact"/>
      </w:pPr>
      <w:r>
        <w:rPr>
          <w:bCs/>
          <w:b/>
        </w:rPr>
        <w:t xml:space="preserve">Enhance Social Inclusivity:</w:t>
      </w:r>
      <w:r>
        <w:t xml:space="preserve"> </w:t>
      </w:r>
      <w:r>
        <w:t xml:space="preserve">Develop targeted policies that specifically address the needs of low-income neighborhoods and informal settlements.</w:t>
      </w:r>
    </w:p>
    <w:p>
      <w:pPr>
        <w:numPr>
          <w:ilvl w:val="0"/>
          <w:numId w:val="1001"/>
        </w:numPr>
        <w:pStyle w:val="Compact"/>
      </w:pPr>
      <w:r>
        <w:rPr>
          <w:bCs/>
          <w:b/>
        </w:rPr>
        <w:t xml:space="preserve">Improve Project Oversight:</w:t>
      </w:r>
      <w:r>
        <w:t xml:space="preserve"> </w:t>
      </w:r>
      <w:r>
        <w:t xml:space="preserve">Establish independent monitoring committees for major infrastructure projects to ensure timely completion and budget adherence.</w:t>
      </w:r>
    </w:p>
    <w:p>
      <w:pPr>
        <w:numPr>
          <w:ilvl w:val="0"/>
          <w:numId w:val="1001"/>
        </w:numPr>
        <w:pStyle w:val="Compact"/>
      </w:pPr>
      <w:r>
        <w:rPr>
          <w:bCs/>
          <w:b/>
        </w:rPr>
        <w:t xml:space="preserve">Strengthen Transparency:</w:t>
      </w:r>
      <w:r>
        <w:t xml:space="preserve"> </w:t>
      </w:r>
      <w:r>
        <w:t xml:space="preserve">Proactively publish detailed reports on procurement processes and contract awards to mitigate perceptions of favoritism.</w:t>
      </w:r>
    </w:p>
    <w:p>
      <w:pPr>
        <w:numPr>
          <w:ilvl w:val="0"/>
          <w:numId w:val="1001"/>
        </w:numPr>
        <w:pStyle w:val="Compact"/>
      </w:pPr>
      <w:r>
        <w:rPr>
          <w:bCs/>
          <w:b/>
        </w:rPr>
        <w:t xml:space="preserve">Youth Empowerment:</w:t>
      </w:r>
      <w:r>
        <w:t xml:space="preserve"> </w:t>
      </w:r>
      <w:r>
        <w:t xml:space="preserve">Create mentorship and internship programs linking Casablanca's youth with the private sector to combat unemployment.</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offers a balanced assessment of the</w:t>
      </w:r>
      <w:r>
        <w:t xml:space="preserve"> </w:t>
      </w:r>
      <w:r>
        <w:rPr>
          <w:bCs/>
          <w:b/>
        </w:rPr>
        <w:t xml:space="preserve">Politician</w:t>
      </w:r>
      <w:r>
        <w:t xml:space="preserve">'s tenure and impact within the dynamic environment of</w:t>
      </w:r>
      <w:r>
        <w:t xml:space="preserve"> </w:t>
      </w:r>
      <w:r>
        <w:rPr>
          <w:bCs/>
          <w:b/>
        </w:rPr>
        <w:t xml:space="preserve">Morocco Casablanca</w:t>
      </w:r>
      <w:r>
        <w:t xml:space="preserve">. While there are commendable achievements in economic advocacy and infrastructure planning, significant improvements are needed in the areas of social equity, transparency, and grassroots engagement. By addressing these gaps, the subject can better align their leadership with the aspirations of the Casablancaite people and contribute more effectively to the nation's progress.</w:t>
      </w:r>
    </w:p>
    <w:p>
      <w:pPr>
        <w:pStyle w:val="BodyText"/>
      </w:pPr>
      <w:r>
        <w:t xml:space="preserve">Dr. Amina El-Fassi</w:t>
      </w:r>
      <w:r>
        <w:br/>
      </w:r>
      <w:r>
        <w:t xml:space="preserve">Lead Reviewer</w:t>
      </w:r>
    </w:p>
    <w:p>
      <w:pPr>
        <w:pStyle w:val="BodyText"/>
      </w:pPr>
      <w:r>
        <w:t xml:space="preserve">Karim Benali</w:t>
      </w:r>
      <w:r>
        <w:br/>
      </w:r>
      <w:r>
        <w:t xml:space="preserve">Panel Chair</w:t>
      </w:r>
    </w:p>
    <w:p>
      <w:pPr>
        <w:pStyle w:val="BodyText"/>
      </w:pPr>
      <w:r>
        <w:t xml:space="preserve">© 2023 Independent Governance &amp; Civic Engagement Committee. All rights reserved. This document is confidential and intended for internal review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Casablanca, Morocco</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