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Assessment</w:t>
      </w:r>
    </w:p>
    <w:bookmarkStart w:id="28" w:name="X712dae16129e83473f16ff9b60b4ddbf2992b33"/>
    <w:p>
      <w:pPr>
        <w:pStyle w:val="Heading1"/>
      </w:pPr>
      <w:r>
        <w:t xml:space="preserve">Peer Review Report: Political Leadership Assessment</w:t>
      </w:r>
    </w:p>
    <w:p>
      <w:pPr>
        <w:pStyle w:val="FirstParagraph"/>
      </w:pPr>
      <w:r>
        <w:rPr>
          <w:bCs/>
          <w:b/>
        </w:rPr>
        <w:t xml:space="preserve">Subject:</w:t>
      </w:r>
      <w:r>
        <w:t xml:space="preserve"> </w:t>
      </w:r>
      <w:r>
        <w:t xml:space="preserve">Performance Evaluation of Senior Politician</w:t>
      </w:r>
      <w:r>
        <w:br/>
      </w:r>
      <w:r>
        <w:rPr>
          <w:bCs/>
          <w:b/>
        </w:rPr>
        <w:t xml:space="preserve">Region:</w:t>
      </w:r>
      <w:r>
        <w:t xml:space="preserve"> </w:t>
      </w:r>
      <w:r>
        <w:t xml:space="preserve">Russia Moscow</w:t>
      </w:r>
      <w:r>
        <w:br/>
      </w:r>
      <w:r>
        <w:rPr>
          <w:bCs/>
          <w:b/>
        </w:rPr>
        <w:t xml:space="preserve">Date:</w:t>
      </w:r>
      <w:r>
        <w:t xml:space="preserve"> </w:t>
      </w:r>
      <w:r>
        <w:t xml:space="preserve">October 24, 2023</w:t>
      </w:r>
    </w:p>
    <w:p>
      <w:pPr>
        <w:pStyle w:val="BodyText"/>
      </w:pPr>
      <w:r>
        <w:rPr>
          <w:bCs/>
          <w:b/>
        </w:rPr>
        <w:t xml:space="preserve">Review Board:</w:t>
      </w:r>
      <w:r>
        <w:t xml:space="preserve"> </w:t>
      </w:r>
      <w:r>
        <w:t xml:space="preserve">Independent Governance Committee</w:t>
      </w:r>
      <w:r>
        <w:br/>
      </w:r>
      <w:r>
        <w:rPr>
          <w:bCs/>
          <w:b/>
        </w:rPr>
        <w:t xml:space="preserve">Classification:</w:t>
      </w:r>
      <w:r>
        <w:t xml:space="preserve"> </w:t>
      </w:r>
      <w:r>
        <w:t xml:space="preserve">Internal / Confidential</w:t>
      </w:r>
    </w:p>
    <w:bookmarkStart w:id="20" w:name="executive-summary"/>
    <w:p>
      <w:pPr>
        <w:pStyle w:val="Heading2"/>
      </w:pPr>
      <w:r>
        <w:t xml:space="preserve">1. Executive Summary</w:t>
      </w:r>
    </w:p>
    <w:p>
      <w:pPr>
        <w:pStyle w:val="FirstParagraph"/>
      </w:pPr>
      <w:r>
        <w:t xml:space="preserve">This Peer Review Report provides a comprehensive analysis of the professional conduct, strategic decision-making, and administrative efficacy of a senior Politician operating within the jurisdiction of Russia Moscow. The review is conducted by a panel of independent experts and fellow political stakeholders to ensure transparency, accountability, and adherence to high standards of public service. The primary objective of this document is to evaluate the Politician's alignment with the complex socio-political landscape of Moscow, their ability to navigate federal and municipal regulations, and their impact on the local electorate.</w:t>
      </w:r>
    </w:p>
    <w:p>
      <w:pPr>
        <w:pStyle w:val="BodyText"/>
      </w:pPr>
      <w:r>
        <w:t xml:space="preserve">The assessment covers a twelve-month period, focusing on legislative initiatives, public engagement strategies, crisis management, and ethical compliance. The findings indicate a Politician who demonstrates strong institutional knowledge and resilience, though specific areas regarding digital communication and grassroots outreach require strategic refinement to meet the evolving expectations of the Moscow populace.</w:t>
      </w:r>
    </w:p>
    <w:bookmarkEnd w:id="20"/>
    <w:bookmarkStart w:id="21" w:name="scope-and-methodology"/>
    <w:p>
      <w:pPr>
        <w:pStyle w:val="Heading2"/>
      </w:pPr>
      <w:r>
        <w:t xml:space="preserve">2. Scope and Methodology</w:t>
      </w:r>
    </w:p>
    <w:p>
      <w:pPr>
        <w:pStyle w:val="FirstParagraph"/>
      </w:pPr>
      <w:r>
        <w:t xml:space="preserve">The scope of this review encompasses all official activities undertaken by the Politician within the Moscow region. The methodology employed includes a qualitative analysis of legislative records, quantitative assessment of public opinion polls specific to Russia Moscow, and structured interviews with municipal staff and constituent representatives.</w:t>
      </w:r>
    </w:p>
    <w:p>
      <w:pPr>
        <w:pStyle w:val="BodyText"/>
      </w:pPr>
      <w:r>
        <w:t xml:space="preserve">Special attention was paid to the unique challenges of governing in a metropolis of this magnitude. The review board considered the Politician's ability to balance federal directives with local needs, a critical competency for any leader in Russia Moscow. Furthermore, the review analyzed the Politician's role in fostering inter-agency cooperation and maintaining stability during periods of economic fluctuation.</w:t>
      </w:r>
    </w:p>
    <w:bookmarkEnd w:id="21"/>
    <w:bookmarkStart w:id="22" w:name="X317475292a0d4bdd440d7b548da1d86d7fd4b71"/>
    <w:p>
      <w:pPr>
        <w:pStyle w:val="Heading2"/>
      </w:pPr>
      <w:r>
        <w:t xml:space="preserve">3. Strategic Leadership and Policy Implementation</w:t>
      </w:r>
    </w:p>
    <w:p>
      <w:pPr>
        <w:pStyle w:val="FirstParagraph"/>
      </w:pPr>
      <w:r>
        <w:t xml:space="preserve">The Politician has demonstrated a robust understanding of the legislative framework governing Russia Moscow. Their approach to policy implementation is characterized by a methodical adherence to procedural norms and a focus on long-term urban development. Key achievements noted during this review period include the successful navigation of complex zoning reforms and the facilitation of infrastructure projects aimed at modernizing public transport networks.</w:t>
      </w:r>
    </w:p>
    <w:p>
      <w:pPr>
        <w:pStyle w:val="BodyText"/>
      </w:pPr>
      <w:r>
        <w:t xml:space="preserve">However, the review identifies a need for greater agility in policy adaptation. While the Politician excels in traditional governance models, the rapid pace of technological change in Moscow requires a more dynamic approach to digital governance. The ability to integrate smart city technologies into policy frameworks is an area where the Politician must demonstrate increased initiative to remain relevant and effective.</w:t>
      </w:r>
    </w:p>
    <w:bookmarkEnd w:id="22"/>
    <w:bookmarkStart w:id="23" w:name="public-engagement-and-communication"/>
    <w:p>
      <w:pPr>
        <w:pStyle w:val="Heading2"/>
      </w:pPr>
      <w:r>
        <w:t xml:space="preserve">4. Public Engagement and Communication</w:t>
      </w:r>
    </w:p>
    <w:p>
      <w:pPr>
        <w:pStyle w:val="FirstParagraph"/>
      </w:pPr>
      <w:r>
        <w:t xml:space="preserve">Effective communication is paramount for a Politician in Russia Moscow, given the diverse and highly connected nature of the electorate. The review finds that the Politician maintains a professional and dignified public persona, consistent with the expectations of high office. Regular town hall meetings and official press briefings have been conducted with a high degree of formality and clarity.</w:t>
      </w:r>
    </w:p>
    <w:p>
      <w:pPr>
        <w:pStyle w:val="BodyText"/>
      </w:pPr>
      <w:r>
        <w:t xml:space="preserve">Nevertheless, the Peer Review Report highlights a disconnect in digital engagement. While traditional media presence is strong, the Politician's engagement on social media platforms and digital forums is limited. In an era where public discourse in Moscow is increasingly driven by online interactions, this gap presents a risk to public trust and accessibility. It is recommended that the Politician adopt a more proactive digital communication strategy to address constituent concerns in real-time.</w:t>
      </w:r>
    </w:p>
    <w:bookmarkEnd w:id="23"/>
    <w:bookmarkStart w:id="24" w:name="ethical-compliance-and-integrity"/>
    <w:p>
      <w:pPr>
        <w:pStyle w:val="Heading2"/>
      </w:pPr>
      <w:r>
        <w:t xml:space="preserve">5. Ethical Compliance and Integrity</w:t>
      </w:r>
    </w:p>
    <w:p>
      <w:pPr>
        <w:pStyle w:val="FirstParagraph"/>
      </w:pPr>
      <w:r>
        <w:t xml:space="preserve">Integrity is the cornerstone of political leadership. This review thoroughly examined the Politician's adherence to ethical standards and anti-corruption protocols. The findings confirm that the Politician has maintained a clean record regarding financial disclosures and conflict of interest declarations. There were no substantiated allegations of misconduct or ethical breaches during the review period.</w:t>
      </w:r>
    </w:p>
    <w:p>
      <w:pPr>
        <w:pStyle w:val="BodyText"/>
      </w:pPr>
      <w:r>
        <w:t xml:space="preserve">The Politician's commitment to transparency is evident in their willingness to subject their office to regular audits and oversight. This dedication to ethical governance reinforces the credibility of their leadership and serves as a positive example for other officials in Russia Moscow. The review board commends the Politician for upholding the highest standards of integrity in a complex political environment.</w:t>
      </w:r>
    </w:p>
    <w:bookmarkEnd w:id="24"/>
    <w:bookmarkStart w:id="25" w:name="crisis-management-and-resilience"/>
    <w:p>
      <w:pPr>
        <w:pStyle w:val="Heading2"/>
      </w:pPr>
      <w:r>
        <w:t xml:space="preserve">6. Crisis Management and Resilience</w:t>
      </w:r>
    </w:p>
    <w:p>
      <w:pPr>
        <w:pStyle w:val="FirstParagraph"/>
      </w:pPr>
      <w:r>
        <w:t xml:space="preserve">The ability to manage crises is a critical test for any Politician. During the review period, the Politician was required to address several challenges, including public health concerns and economic pressures affecting the Moscow region. The Politician's response was characterized by calmness, decisiveness, and a reliance on expert advice.</w:t>
      </w:r>
    </w:p>
    <w:p>
      <w:pPr>
        <w:pStyle w:val="BodyText"/>
      </w:pPr>
      <w:r>
        <w:t xml:space="preserve">The coordination with federal authorities and local emergency services was effective, ensuring that resources were allocated efficiently. However, the review suggests that future crisis communication plans should be more comprehensive, particularly in addressing misinformation and ensuring clear, consistent messaging to the public. Enhancing these capabilities will strengthen the Politician's resilience in the face of future uncertainties.</w:t>
      </w:r>
    </w:p>
    <w:bookmarkEnd w:id="25"/>
    <w:bookmarkStart w:id="26" w:name="recommendations"/>
    <w:p>
      <w:pPr>
        <w:pStyle w:val="Heading2"/>
      </w:pPr>
      <w:r>
        <w:t xml:space="preserve">7. Recommendations</w:t>
      </w:r>
    </w:p>
    <w:p>
      <w:pPr>
        <w:numPr>
          <w:ilvl w:val="0"/>
          <w:numId w:val="1001"/>
        </w:numPr>
        <w:pStyle w:val="Compact"/>
      </w:pPr>
      <w:r>
        <w:rPr>
          <w:bCs/>
          <w:b/>
        </w:rPr>
        <w:t xml:space="preserve">Enhance Digital Presence:</w:t>
      </w:r>
      <w:r>
        <w:t xml:space="preserve"> </w:t>
      </w:r>
      <w:r>
        <w:t xml:space="preserve">Develop a robust strategy for engaging with constituents through social media and digital platforms to improve accessibility and responsiveness.</w:t>
      </w:r>
    </w:p>
    <w:p>
      <w:pPr>
        <w:numPr>
          <w:ilvl w:val="0"/>
          <w:numId w:val="1001"/>
        </w:numPr>
        <w:pStyle w:val="Compact"/>
      </w:pPr>
      <w:r>
        <w:rPr>
          <w:bCs/>
          <w:b/>
        </w:rPr>
        <w:t xml:space="preserve">Strengthen Grassroots Outreach:</w:t>
      </w:r>
      <w:r>
        <w:t xml:space="preserve"> </w:t>
      </w:r>
      <w:r>
        <w:t xml:space="preserve">Increase direct interaction with local community leaders and neighborhood associations to better understand and address hyper-local issues in Russia Moscow.</w:t>
      </w:r>
    </w:p>
    <w:p>
      <w:pPr>
        <w:numPr>
          <w:ilvl w:val="0"/>
          <w:numId w:val="1001"/>
        </w:numPr>
        <w:pStyle w:val="Compact"/>
      </w:pPr>
      <w:r>
        <w:rPr>
          <w:bCs/>
          <w:b/>
        </w:rPr>
        <w:t xml:space="preserve">Focus on Innovation:</w:t>
      </w:r>
      <w:r>
        <w:t xml:space="preserve"> </w:t>
      </w:r>
      <w:r>
        <w:t xml:space="preserve">Prioritize the integration of innovative technologies and sustainable practices into policy initiatives to align with the modernization goals of the city.</w:t>
      </w:r>
    </w:p>
    <w:p>
      <w:pPr>
        <w:numPr>
          <w:ilvl w:val="0"/>
          <w:numId w:val="1001"/>
        </w:numPr>
        <w:pStyle w:val="Compact"/>
      </w:pPr>
      <w:r>
        <w:rPr>
          <w:bCs/>
          <w:b/>
        </w:rPr>
        <w:t xml:space="preserve">Improve Crisis Communication:</w:t>
      </w:r>
      <w:r>
        <w:t xml:space="preserve"> </w:t>
      </w:r>
      <w:r>
        <w:t xml:space="preserve">Establish a dedicated team for managing public information during crises to ensure accuracy, speed, and clarity in messaging.</w:t>
      </w:r>
    </w:p>
    <w:bookmarkEnd w:id="26"/>
    <w:bookmarkStart w:id="27" w:name="conclusion"/>
    <w:p>
      <w:pPr>
        <w:pStyle w:val="Heading2"/>
      </w:pPr>
      <w:r>
        <w:t xml:space="preserve">8. Conclusion</w:t>
      </w:r>
    </w:p>
    <w:p>
      <w:pPr>
        <w:pStyle w:val="FirstParagraph"/>
      </w:pPr>
      <w:r>
        <w:t xml:space="preserve">In conclusion, this Peer Review Report affirms that the Politician under review is a capable and ethical leader who has made significant contributions to the governance of Russia Moscow. Their strong institutional knowledge, commitment to integrity, and effective crisis management are assets to the region. By addressing the identified areas for improvement, particularly in digital engagement and grassroots outreach, the Politician can further enhance their effectiveness and deepen their connection with the electorate. The review board recommends continued support for the Politician's initiatives, contingent upon the implementation of the suggested improvements.</w:t>
      </w:r>
    </w:p>
    <w:p>
      <w:pPr>
        <w:pStyle w:val="BodyText"/>
      </w:pPr>
      <w:r>
        <w:rPr>
          <w:bCs/>
          <w:b/>
        </w:rPr>
        <w:t xml:space="preserve">Prepared by:</w:t>
      </w:r>
      <w:r>
        <w:t xml:space="preserve"> </w:t>
      </w:r>
      <w:r>
        <w:t xml:space="preserve">Independent Governance Committee</w:t>
      </w:r>
    </w:p>
    <w:p>
      <w:pPr>
        <w:pStyle w:val="BodyText"/>
      </w:pPr>
      <w:r>
        <w:rPr>
          <w:bCs/>
          <w:b/>
        </w:rPr>
        <w:t xml:space="preserve">Location:</w:t>
      </w:r>
      <w:r>
        <w:t xml:space="preserve"> </w:t>
      </w:r>
      <w:r>
        <w:t xml:space="preserve">Russia Moscow</w:t>
      </w:r>
    </w:p>
    <w:p>
      <w:pPr>
        <w:pStyle w:val="BodyText"/>
      </w:pPr>
      <w:r>
        <w:rPr>
          <w:bCs/>
          <w:b/>
        </w:rPr>
        <w:t xml:space="preserve">Document Status:</w:t>
      </w:r>
      <w:r>
        <w:t xml:space="preserve"> </w:t>
      </w:r>
      <w:r>
        <w:t xml:space="preserve">Finalized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Assessment</dc:title>
  <dc:creator/>
  <dc:language>en</dc:language>
  <cp:keywords/>
  <dcterms:created xsi:type="dcterms:W3CDTF">2026-10-10T12:04:31Z</dcterms:created>
  <dcterms:modified xsi:type="dcterms:W3CDTF">2026-10-10T12:04:31Z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