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Political</w:t>
      </w:r>
      <w:r>
        <w:t xml:space="preserve"> </w:t>
      </w:r>
      <w:r>
        <w:t xml:space="preserve">Leadership</w:t>
      </w:r>
      <w:r>
        <w:t xml:space="preserve"> </w:t>
      </w:r>
      <w:r>
        <w:t xml:space="preserve">in</w:t>
      </w:r>
      <w:r>
        <w:t xml:space="preserve"> </w:t>
      </w:r>
      <w:r>
        <w:t xml:space="preserve">Saint</w:t>
      </w:r>
      <w:r>
        <w:t xml:space="preserve"> </w:t>
      </w:r>
      <w:r>
        <w:t xml:space="preserve">Petersburg,</w:t>
      </w:r>
      <w:r>
        <w:t xml:space="preserve"> </w:t>
      </w:r>
      <w:r>
        <w:t xml:space="preserve">Russia</w:t>
      </w:r>
    </w:p>
    <w:bookmarkStart w:id="30" w:name="X9699abddc529b4ca0399e8fe639b791f0ab80a9"/>
    <w:p>
      <w:pPr>
        <w:pStyle w:val="Heading1"/>
      </w:pPr>
      <w:r>
        <w:t xml:space="preserve">Peer Review Report: Strategic Governance and Civic Engagement</w:t>
      </w:r>
    </w:p>
    <w:p>
      <w:pPr>
        <w:pStyle w:val="FirstParagraph"/>
      </w:pPr>
      <w:r>
        <w:rPr>
          <w:bCs/>
          <w:b/>
        </w:rPr>
        <w:t xml:space="preserve">Subject:</w:t>
      </w:r>
      <w:r>
        <w:t xml:space="preserve"> </w:t>
      </w:r>
      <w:r>
        <w:t xml:space="preserve">Performance Evaluation of a Senior Politician</w:t>
      </w:r>
    </w:p>
    <w:p>
      <w:pPr>
        <w:pStyle w:val="BodyText"/>
      </w:pPr>
      <w:r>
        <w:rPr>
          <w:bCs/>
          <w:b/>
        </w:rPr>
        <w:t xml:space="preserve">Location of Jurisdiction:</w:t>
      </w:r>
      <w:r>
        <w:t xml:space="preserve"> </w:t>
      </w:r>
      <w:r>
        <w:t xml:space="preserve">Saint Petersburg, Russia</w:t>
      </w:r>
    </w:p>
    <w:p>
      <w:pPr>
        <w:pStyle w:val="BodyText"/>
      </w:pPr>
      <w:r>
        <w:rPr>
          <w:bCs/>
          <w:b/>
        </w:rPr>
        <w:t xml:space="preserve">Review Type:</w:t>
      </w:r>
      <w:r>
        <w:t xml:space="preserve"> </w:t>
      </w:r>
      <w:r>
        <w:t xml:space="preserve">Comprehensive Peer Assessment</w:t>
      </w:r>
    </w:p>
    <w:p>
      <w:pPr>
        <w:pStyle w:val="BodyText"/>
      </w:pPr>
      <w:r>
        <w:rPr>
          <w:bCs/>
          <w:b/>
        </w:rPr>
        <w:t xml:space="preserve">Date:</w:t>
      </w:r>
      <w:r>
        <w:t xml:space="preserve"> </w:t>
      </w:r>
      <w:r>
        <w:t xml:space="preserve">October 24, 2023</w:t>
      </w:r>
    </w:p>
    <w:p>
      <w:pPr>
        <w:pStyle w:val="BodyText"/>
      </w:pPr>
      <w:r>
        <w:rPr>
          <w:bCs/>
          <w:b/>
        </w:rPr>
        <w:t xml:space="preserve">Confidentiality Level:</w:t>
      </w:r>
      <w:r>
        <w:t xml:space="preserve"> </w:t>
      </w:r>
      <w:r>
        <w:t xml:space="preserve">Internal / Restricted</w:t>
      </w:r>
    </w:p>
    <w:bookmarkStart w:id="20" w:name="executive-summary"/>
    <w:p>
      <w:pPr>
        <w:pStyle w:val="Heading2"/>
      </w:pPr>
      <w:r>
        <w:t xml:space="preserve">1. Executive Summary</w:t>
      </w:r>
    </w:p>
    <w:p>
      <w:pPr>
        <w:pStyle w:val="FirstParagraph"/>
      </w:pPr>
      <w:r>
        <w:t xml:space="preserve">This Peer Review Report provides a detailed assessment of the administrative capabilities, strategic vision, and public service record of a prominent politician operating within the complex political landscape of Saint Petersburg, Russia. As the second-largest city in the Russian Federation and a critical hub for culture, industry, and diplomacy, Saint Petersburg presents unique governance challenges. This review evaluates the subject's ability to navigate federal mandates while addressing local municipal needs, focusing on infrastructure development, economic diversification, and social stability.</w:t>
      </w:r>
    </w:p>
    <w:bookmarkEnd w:id="20"/>
    <w:bookmarkStart w:id="21" w:name="X3e1f72cb8ed12fe111cf2817afed1757f4f442e"/>
    <w:p>
      <w:pPr>
        <w:pStyle w:val="Heading2"/>
      </w:pPr>
      <w:r>
        <w:t xml:space="preserve">2. Contextual Framework: Governance in Saint Petersburg</w:t>
      </w:r>
    </w:p>
    <w:p>
      <w:pPr>
        <w:pStyle w:val="FirstParagraph"/>
      </w:pPr>
      <w:r>
        <w:t xml:space="preserve">To accurately assess the politician in question, one must understand the specific environment of Saint Petersburg. Unlike Moscow, which serves as the primary political center, Saint Petersburg operates as a distinct entity with a rich historical identity and a robust industrial base. The role of a politician here requires a delicate balance between maintaining alignment with federal policies and fostering the city's unique cultural and economic ecosystem.</w:t>
      </w:r>
    </w:p>
    <w:p>
      <w:pPr>
        <w:pStyle w:val="BodyText"/>
      </w:pPr>
      <w:r>
        <w:t xml:space="preserve">The review considers the following contextual factors:</w:t>
      </w:r>
    </w:p>
    <w:p>
      <w:pPr>
        <w:numPr>
          <w:ilvl w:val="0"/>
          <w:numId w:val="1001"/>
        </w:numPr>
        <w:pStyle w:val="Compact"/>
      </w:pPr>
      <w:r>
        <w:rPr>
          <w:bCs/>
          <w:b/>
        </w:rPr>
        <w:t xml:space="preserve">Federal-Regional Relations:</w:t>
      </w:r>
      <w:r>
        <w:t xml:space="preserve"> </w:t>
      </w:r>
      <w:r>
        <w:t xml:space="preserve">The necessity of coordinating with the Kremlin while managing local legislative bodies.</w:t>
      </w:r>
    </w:p>
    <w:p>
      <w:pPr>
        <w:numPr>
          <w:ilvl w:val="0"/>
          <w:numId w:val="1001"/>
        </w:numPr>
        <w:pStyle w:val="Compact"/>
      </w:pPr>
      <w:r>
        <w:rPr>
          <w:bCs/>
          <w:b/>
        </w:rPr>
        <w:t xml:space="preserve">Economic Transition:</w:t>
      </w:r>
      <w:r>
        <w:t xml:space="preserve"> </w:t>
      </w:r>
      <w:r>
        <w:t xml:space="preserve">The shift from traditional heavy industry to a service-oriented and technological economy.</w:t>
      </w:r>
    </w:p>
    <w:p>
      <w:pPr>
        <w:numPr>
          <w:ilvl w:val="0"/>
          <w:numId w:val="1001"/>
        </w:numPr>
        <w:pStyle w:val="Compact"/>
      </w:pPr>
      <w:r>
        <w:rPr>
          <w:bCs/>
          <w:b/>
        </w:rPr>
        <w:t xml:space="preserve">Urban Infrastructure:</w:t>
      </w:r>
      <w:r>
        <w:t xml:space="preserve"> </w:t>
      </w:r>
      <w:r>
        <w:t xml:space="preserve">The management of a historic city center alongside rapidly expanding suburban districts.</w:t>
      </w:r>
    </w:p>
    <w:bookmarkEnd w:id="21"/>
    <w:bookmarkStart w:id="24" w:name="assessment-of-strategic-leadership"/>
    <w:p>
      <w:pPr>
        <w:pStyle w:val="Heading2"/>
      </w:pPr>
      <w:r>
        <w:t xml:space="preserve">3. Assessment of Strategic Leadership</w:t>
      </w:r>
    </w:p>
    <w:bookmarkStart w:id="22" w:name="policy-formulation-and-implementation"/>
    <w:p>
      <w:pPr>
        <w:pStyle w:val="Heading3"/>
      </w:pPr>
      <w:r>
        <w:t xml:space="preserve">3.1 Policy Formulation and Implementation</w:t>
      </w:r>
    </w:p>
    <w:p>
      <w:pPr>
        <w:pStyle w:val="FirstParagraph"/>
      </w:pPr>
      <w:r>
        <w:t xml:space="preserve">The politician has demonstrated a high degree of competence in policy formulation, particularly in the realm of urban planning. In Saint Petersburg, where preservation of heritage sites conflicts with modernization needs, the subject has shown a pragmatic approach. Peer reviewers note that recent initiatives regarding the renovation of housing stock have been executed with a level of transparency that exceeds regional averages. The ability to secure federal funding for these projects while minimizing local bureaucratic friction is a significant strength.</w:t>
      </w:r>
    </w:p>
    <w:bookmarkEnd w:id="22"/>
    <w:bookmarkStart w:id="23" w:name="economic-development-and-investment"/>
    <w:p>
      <w:pPr>
        <w:pStyle w:val="Heading3"/>
      </w:pPr>
      <w:r>
        <w:t xml:space="preserve">3.2 Economic Development and Investment</w:t>
      </w:r>
    </w:p>
    <w:p>
      <w:pPr>
        <w:pStyle w:val="FirstParagraph"/>
      </w:pPr>
      <w:r>
        <w:t xml:space="preserve">A critical metric for any politician in Saint Petersburg is their ability to attract investment. The subject has been instrumental in promoting the city as a hub for IT and biotechnology. By leveraging the city's academic institutions, such as Saint Petersburg State University, the politician has fostered public-private partnerships that have created thousands of jobs. However, the review notes that while the high-tech sector is thriving, there is a need for more robust support for small and medium-sized enterprises (SMEs) in the traditional manufacturing sector.</w:t>
      </w:r>
    </w:p>
    <w:bookmarkEnd w:id="23"/>
    <w:bookmarkEnd w:id="24"/>
    <w:bookmarkStart w:id="25" w:name="civic-engagement-and-public-relations"/>
    <w:p>
      <w:pPr>
        <w:pStyle w:val="Heading2"/>
      </w:pPr>
      <w:r>
        <w:t xml:space="preserve">4. Civic Engagement and Public Relations</w:t>
      </w:r>
    </w:p>
    <w:p>
      <w:pPr>
        <w:pStyle w:val="FirstParagraph"/>
      </w:pPr>
      <w:r>
        <w:t xml:space="preserve">The relationship between the politician and the electorate in Saint Petersburg is characterized by a mix of respect and cautious optimism. The subject maintains a visible presence in public forums and utilizes digital platforms effectively to communicate policy changes.</w:t>
      </w:r>
    </w:p>
    <w:p>
      <w:pPr>
        <w:pStyle w:val="BodyText"/>
      </w:pPr>
      <w:r>
        <w:rPr>
          <w:bCs/>
          <w:b/>
        </w:rPr>
        <w:t xml:space="preserve">Strengths:</w:t>
      </w:r>
    </w:p>
    <w:p>
      <w:pPr>
        <w:numPr>
          <w:ilvl w:val="0"/>
          <w:numId w:val="1002"/>
        </w:numPr>
        <w:pStyle w:val="Compact"/>
      </w:pPr>
      <w:r>
        <w:t xml:space="preserve">Effective crisis communication during seasonal infrastructure challenges (e.g., flood prevention measures).</w:t>
      </w:r>
    </w:p>
    <w:p>
      <w:pPr>
        <w:numPr>
          <w:ilvl w:val="0"/>
          <w:numId w:val="1002"/>
        </w:numPr>
        <w:pStyle w:val="Compact"/>
      </w:pPr>
      <w:r>
        <w:t xml:space="preserve">Strong engagement with cultural organizations, reinforcing the city's status as a cultural capital.</w:t>
      </w:r>
    </w:p>
    <w:p>
      <w:pPr>
        <w:pStyle w:val="FirstParagraph"/>
      </w:pPr>
      <w:r>
        <w:rPr>
          <w:bCs/>
          <w:b/>
        </w:rPr>
        <w:t xml:space="preserve">Areas for Improvement:</w:t>
      </w:r>
    </w:p>
    <w:p>
      <w:pPr>
        <w:numPr>
          <w:ilvl w:val="0"/>
          <w:numId w:val="1003"/>
        </w:numPr>
        <w:pStyle w:val="Compact"/>
      </w:pPr>
      <w:r>
        <w:t xml:space="preserve">Increased accessibility for constituents in the outer districts of the city.</w:t>
      </w:r>
    </w:p>
    <w:p>
      <w:pPr>
        <w:numPr>
          <w:ilvl w:val="0"/>
          <w:numId w:val="1003"/>
        </w:numPr>
        <w:pStyle w:val="Compact"/>
      </w:pPr>
      <w:r>
        <w:t xml:space="preserve">More proactive dialogue regarding environmental concerns, particularly air quality and waste management.</w:t>
      </w:r>
    </w:p>
    <w:bookmarkEnd w:id="25"/>
    <w:bookmarkStart w:id="26" w:name="administrative-efficiency-and-integrity"/>
    <w:p>
      <w:pPr>
        <w:pStyle w:val="Heading2"/>
      </w:pPr>
      <w:r>
        <w:t xml:space="preserve">5. Administrative Efficiency and Integrity</w:t>
      </w:r>
    </w:p>
    <w:p>
      <w:pPr>
        <w:pStyle w:val="FirstParagraph"/>
      </w:pPr>
      <w:r>
        <w:t xml:space="preserve">This section of the Peer Review Report focuses on the internal management of the politician's office and their adherence to ethical standards. The review indicates that the administration operates with a high degree of professionalism. Decision-making processes are generally well-documented, and there is a clear chain of command.</w:t>
      </w:r>
    </w:p>
    <w:p>
      <w:pPr>
        <w:pStyle w:val="BodyText"/>
      </w:pPr>
      <w:r>
        <w:t xml:space="preserve">In the context of Russia's political environment, maintaining integrity is paramount. The subject has avoided major scandals and has implemented internal controls to prevent corruption within their department. This stability is crucial for maintaining investor confidence and public trust in Saint Petersburg.</w:t>
      </w:r>
    </w:p>
    <w:bookmarkEnd w:id="26"/>
    <w:bookmarkStart w:id="27" w:name="comparative-analysis"/>
    <w:p>
      <w:pPr>
        <w:pStyle w:val="Heading2"/>
      </w:pPr>
      <w:r>
        <w:t xml:space="preserve">6. Comparative Analysis</w:t>
      </w:r>
    </w:p>
    <w:p>
      <w:pPr>
        <w:pStyle w:val="FirstParagraph"/>
      </w:pPr>
      <w:r>
        <w:t xml:space="preserve">When compared to peers in other major Russian regions, the politician stands out for their focus on long-term strategic planning rather than short-term political gains. While some counterparts prioritize immediate visibility projects, this subject has invested in foundational improvements such as digital governance systems and educational infrastructure. This forward-thinking approach positions Saint Petersburg favorably for future economic resilience.</w:t>
      </w:r>
    </w:p>
    <w:bookmarkEnd w:id="27"/>
    <w:bookmarkStart w:id="29" w:name="recommendations"/>
    <w:p>
      <w:pPr>
        <w:pStyle w:val="Heading2"/>
      </w:pPr>
      <w:r>
        <w:t xml:space="preserve">7. Recommendations</w:t>
      </w:r>
    </w:p>
    <w:p>
      <w:pPr>
        <w:pStyle w:val="FirstParagraph"/>
      </w:pPr>
      <w:r>
        <w:t xml:space="preserve">Based on the findings of this Peer Review Report, the following recommendations are proposed for the politician:</w:t>
      </w:r>
    </w:p>
    <w:p>
      <w:pPr>
        <w:numPr>
          <w:ilvl w:val="0"/>
          <w:numId w:val="1004"/>
        </w:numPr>
        <w:pStyle w:val="Compact"/>
      </w:pPr>
      <w:r>
        <w:rPr>
          <w:bCs/>
          <w:b/>
        </w:rPr>
        <w:t xml:space="preserve">Enhance Regional Inclusivity:</w:t>
      </w:r>
      <w:r>
        <w:t xml:space="preserve"> </w:t>
      </w:r>
      <w:r>
        <w:t xml:space="preserve">Develop targeted programs to ensure that economic benefits are distributed more evenly across all districts of Saint Petersburg.</w:t>
      </w:r>
    </w:p>
    <w:p>
      <w:pPr>
        <w:numPr>
          <w:ilvl w:val="0"/>
          <w:numId w:val="1004"/>
        </w:numPr>
        <w:pStyle w:val="Compact"/>
      </w:pPr>
      <w:r>
        <w:rPr>
          <w:bCs/>
          <w:b/>
        </w:rPr>
        <w:t xml:space="preserve">Strengthen Environmental Policy:</w:t>
      </w:r>
      <w:r>
        <w:t xml:space="preserve"> </w:t>
      </w:r>
      <w:r>
        <w:t xml:space="preserve">Prioritize green initiatives to address growing public concern over sustainability.</w:t>
      </w:r>
    </w:p>
    <w:p>
      <w:pPr>
        <w:numPr>
          <w:ilvl w:val="0"/>
          <w:numId w:val="1004"/>
        </w:numPr>
        <w:pStyle w:val="Compact"/>
      </w:pPr>
      <w:r>
        <w:rPr>
          <w:bCs/>
          <w:b/>
        </w:rPr>
        <w:t xml:space="preserve">Deepen Federal Collaboration:</w:t>
      </w:r>
      <w:r>
        <w:t xml:space="preserve"> </w:t>
      </w:r>
      <w:r>
        <w:t xml:space="preserve">Continue to advocate for Saint Petersburg's specific needs at the federal level, particularly regarding transportation infrastructure connecting the city to the wider region.</w:t>
      </w:r>
    </w:p>
    <w:bookmarkStart w:id="28" w:name="conclusion"/>
    <w:p>
      <w:pPr>
        <w:pStyle w:val="Heading3"/>
      </w:pPr>
      <w:r>
        <w:t xml:space="preserve">8. Conclusion</w:t>
      </w:r>
    </w:p>
    <w:p>
      <w:pPr>
        <w:pStyle w:val="FirstParagraph"/>
      </w:pPr>
      <w:r>
        <w:t xml:space="preserve">In conclusion, this Peer Review Report affirms that the politician in question is a capable and strategic leader who is well-suited to the demands of governance in Saint Petersburg, Russia. Their ability to balance federal expectations with local aspirations, coupled with a strong focus on economic modernization, makes them a valuable asset to the region. While there are areas for improvement regarding civic accessibility and environmental policy, the overall performance is rated as highly satisfactory. Continued focus on transparency and inclusive growth will further solidify their legacy in the city's political history.</w:t>
      </w:r>
    </w:p>
    <w:bookmarkEnd w:id="28"/>
    <w:p>
      <w:pPr>
        <w:pStyle w:val="BodyText"/>
      </w:pPr>
      <w:r>
        <w:t xml:space="preserve">Prepared by the Independent Peer Review Committee on Regional Governance.</w:t>
      </w:r>
    </w:p>
    <w:p>
      <w:pPr>
        <w:pStyle w:val="BodyText"/>
      </w:pPr>
      <w:r>
        <w:rPr>
          <w:iCs/>
          <w:i/>
        </w:rPr>
        <w:t xml:space="preserve">Note: This document is a simulated report for educational and structural demonstration purposes.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Political Leadership in Saint Petersburg, Russia</dc:title>
  <dc:creator/>
  <dc:language>en</dc:language>
  <cp:keywords/>
  <dcterms:created xsi:type="dcterms:W3CDTF">2026-10-10T02:46:24Z</dcterms:created>
  <dcterms:modified xsi:type="dcterms:W3CDTF">2026-10-10T02:46:24Z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