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Political</w:t>
      </w:r>
      <w:r>
        <w:t xml:space="preserve"> </w:t>
      </w:r>
      <w:r>
        <w:t xml:space="preserve">Leadership</w:t>
      </w:r>
      <w:r>
        <w:t xml:space="preserve"> </w:t>
      </w:r>
      <w:r>
        <w:t xml:space="preserve">Assessment</w:t>
      </w:r>
    </w:p>
    <w:bookmarkStart w:id="20" w:name="Xd8ddd1bb58d71f6fcd9f3c6f25f18d6f2f55d5a"/>
    <w:p>
      <w:pPr>
        <w:pStyle w:val="Heading1"/>
      </w:pPr>
      <w:r>
        <w:t xml:space="preserve">Peer Review Report: Strategic Political Leadership Assessment</w:t>
      </w:r>
    </w:p>
    <w:p>
      <w:pPr>
        <w:pStyle w:val="FirstParagraph"/>
      </w:pPr>
      <w:r>
        <w:rPr>
          <w:bCs/>
          <w:b/>
        </w:rPr>
        <w:t xml:space="preserve">Subject:</w:t>
      </w:r>
      <w:r>
        <w:t xml:space="preserve"> </w:t>
      </w:r>
      <w:r>
        <w:t xml:space="preserve">Senior Politician / Public Official</w:t>
      </w:r>
    </w:p>
    <w:p>
      <w:pPr>
        <w:pStyle w:val="BodyText"/>
      </w:pPr>
      <w:r>
        <w:rPr>
          <w:bCs/>
          <w:b/>
        </w:rPr>
        <w:t xml:space="preserve">Location:</w:t>
      </w:r>
      <w:r>
        <w:t xml:space="preserve"> </w:t>
      </w:r>
      <w:r>
        <w:t xml:space="preserve">Riyadh, Saudi Arabia</w:t>
      </w:r>
    </w:p>
    <w:p>
      <w:pPr>
        <w:pStyle w:val="BodyText"/>
      </w:pPr>
      <w:r>
        <w:rPr>
          <w:bCs/>
          <w:b/>
        </w:rPr>
        <w:t xml:space="preserve">Date:</w:t>
      </w:r>
      <w:r>
        <w:t xml:space="preserve"> </w:t>
      </w:r>
      <w:r>
        <w:t xml:space="preserve">October 24, 2023</w:t>
      </w:r>
    </w:p>
    <w:p>
      <w:pPr>
        <w:pStyle w:val="BodyText"/>
      </w:pPr>
      <w:r>
        <w:rPr>
          <w:bCs/>
          <w:b/>
        </w:rPr>
        <w:t xml:space="preserve">Classification:</w:t>
      </w:r>
      <w:r>
        <w:t xml:space="preserve"> </w:t>
      </w:r>
      <w:r>
        <w:t xml:space="preserve">Internal / Confidential</w:t>
      </w:r>
    </w:p>
    <w:bookmarkEnd w:id="20"/>
    <w:bookmarkStart w:id="21" w:name="executive-summary"/>
    <w:p>
      <w:pPr>
        <w:pStyle w:val="Heading2"/>
      </w:pPr>
      <w:r>
        <w:t xml:space="preserve">1. Executive Summary</w:t>
      </w:r>
    </w:p>
    <w:p>
      <w:pPr>
        <w:pStyle w:val="FirstParagraph"/>
      </w:pPr>
      <w:r>
        <w:t xml:space="preserve">This Peer Review Report provides a comprehensive evaluation of the performance, strategic alignment, and public impact of a senior Politician operating within the administrative and governance framework of Saudi Arabia Riyadh. The assessment is conducted in accordance with the principles of Vision 2030, focusing on the official's ability to drive economic diversification, enhance public service delivery, and foster social cohesion. The review aims to identify strengths, areas for improvement, and strategic recommendations to ensure the Politician remains effective in navigating the complex socio-political landscape of the Kingdom's capital.</w:t>
      </w:r>
    </w:p>
    <w:p>
      <w:pPr>
        <w:pStyle w:val="BodyText"/>
      </w:pPr>
      <w:r>
        <w:t xml:space="preserve">The evaluation methodology involved a multi-stakeholder approach, including feedback from government peers, civil society representatives, and an analysis of policy outcomes over the last fiscal year. The overarching goal is to ensure that the Politician's actions align with the national agenda of transforming Riyadh into a global hub for business, culture, and innovation.</w:t>
      </w:r>
    </w:p>
    <w:bookmarkEnd w:id="21"/>
    <w:bookmarkStart w:id="24" w:name="strategic-alignment-with-vision-2030"/>
    <w:p>
      <w:pPr>
        <w:pStyle w:val="Heading2"/>
      </w:pPr>
      <w:r>
        <w:t xml:space="preserve">2. Strategic Alignment with Vision 2030</w:t>
      </w:r>
    </w:p>
    <w:p>
      <w:pPr>
        <w:pStyle w:val="FirstParagraph"/>
      </w:pPr>
      <w:r>
        <w:t xml:space="preserve">A critical metric for any Politician in Saudi Arabia Riyadh is their adherence to and execution of Vision 2030 initiatives. This review assesses how effectively the subject has integrated national goals into local governance strategies.</w:t>
      </w:r>
    </w:p>
    <w:bookmarkStart w:id="22" w:name="economic-diversification-and-investment"/>
    <w:p>
      <w:pPr>
        <w:pStyle w:val="Heading3"/>
      </w:pPr>
      <w:r>
        <w:t xml:space="preserve">2.1 Economic Diversification and Investment</w:t>
      </w:r>
    </w:p>
    <w:p>
      <w:pPr>
        <w:pStyle w:val="FirstParagraph"/>
      </w:pPr>
      <w:r>
        <w:t xml:space="preserve">The Politician has demonstrated a strong commitment to attracting foreign direct investment (FDI) to Riyadh. Through active participation in international forums and local business councils, the official has successfully positioned the city as a competitive destination for global enterprises. However, the review notes that while high-level engagement is strong, there is a need for more granular support mechanisms for Small and Medium Enterprises (SMEs), which are vital for a diversified economy.</w:t>
      </w:r>
    </w:p>
    <w:bookmarkEnd w:id="22"/>
    <w:bookmarkStart w:id="23" w:name="quality-of-life-and-urban-development"/>
    <w:p>
      <w:pPr>
        <w:pStyle w:val="Heading3"/>
      </w:pPr>
      <w:r>
        <w:t xml:space="preserve">2.2 Quality of Life and Urban Development</w:t>
      </w:r>
    </w:p>
    <w:p>
      <w:pPr>
        <w:pStyle w:val="FirstParagraph"/>
      </w:pPr>
      <w:r>
        <w:t xml:space="preserve">In the context of Riyadh's rapid urbanization, the Politician has overseen several initiatives aimed at improving infrastructure and public spaces. The alignment with the Riyadh Season and cultural development projects is evident. The official has effectively balanced modernization with the preservation of cultural heritage, a key concern for residents. Nevertheless, traffic management and housing affordability remain areas where policy acceleration is required to meet the expectations of a growing population.</w:t>
      </w:r>
    </w:p>
    <w:bookmarkEnd w:id="23"/>
    <w:bookmarkEnd w:id="24"/>
    <w:bookmarkStart w:id="27" w:name="governance-and-administrative-efficiency"/>
    <w:p>
      <w:pPr>
        <w:pStyle w:val="Heading2"/>
      </w:pPr>
      <w:r>
        <w:t xml:space="preserve">3. Governance and Administrative Efficiency</w:t>
      </w:r>
    </w:p>
    <w:p>
      <w:pPr>
        <w:pStyle w:val="FirstParagraph"/>
      </w:pPr>
      <w:r>
        <w:t xml:space="preserve">Effective governance is paramount in a capital city of Riyadh's scale. This section evaluates the Politician's administrative capabilities, decision-making processes, and inter-agency collaboration.</w:t>
      </w:r>
    </w:p>
    <w:bookmarkStart w:id="25" w:name="digital-transformation"/>
    <w:p>
      <w:pPr>
        <w:pStyle w:val="Heading3"/>
      </w:pPr>
      <w:r>
        <w:t xml:space="preserve">3.1 Digital Transformation</w:t>
      </w:r>
    </w:p>
    <w:p>
      <w:pPr>
        <w:pStyle w:val="FirstParagraph"/>
      </w:pPr>
      <w:r>
        <w:t xml:space="preserve">The subject has been a proponent of digital transformation within their portfolio, leveraging technology to streamline bureaucratic processes. This aligns with the national push for e-government services. The Politician has successfully reduced processing times for key permits and licenses, enhancing the ease of doing business. However, further integration of data analytics for predictive policy-making is recommended to stay ahead of urban challenges.</w:t>
      </w:r>
    </w:p>
    <w:bookmarkEnd w:id="25"/>
    <w:bookmarkStart w:id="26" w:name="inter-agency-collaboration"/>
    <w:p>
      <w:pPr>
        <w:pStyle w:val="Heading3"/>
      </w:pPr>
      <w:r>
        <w:t xml:space="preserve">3.2 Inter-Agency Collaboration</w:t>
      </w:r>
    </w:p>
    <w:p>
      <w:pPr>
        <w:pStyle w:val="FirstParagraph"/>
      </w:pPr>
      <w:r>
        <w:t xml:space="preserve">The review highlights the Politician's ability to collaborate with various ministries and municipal authorities. Strong relationships with the Ministry of Municipal and Rural Affairs and Housing have facilitated smoother project implementations. Yet, there are instances where siloed operations have slowed down cross-sectoral initiatives, particularly in environmental sustainability projects. Enhanced coordination mechanisms are advised to ensure holistic policy execution.</w:t>
      </w:r>
    </w:p>
    <w:bookmarkEnd w:id="26"/>
    <w:bookmarkEnd w:id="27"/>
    <w:bookmarkStart w:id="30" w:name="public-engagement-and-communication"/>
    <w:p>
      <w:pPr>
        <w:pStyle w:val="Heading2"/>
      </w:pPr>
      <w:r>
        <w:t xml:space="preserve">4. Public Engagement and Communication</w:t>
      </w:r>
    </w:p>
    <w:p>
      <w:pPr>
        <w:pStyle w:val="FirstParagraph"/>
      </w:pPr>
      <w:r>
        <w:t xml:space="preserve">In the modern political landscape of Saudi Arabia Riyadh, public trust is built through transparency and engagement. This section assesses the Politician's communication strategies and responsiveness to citizen concerns.</w:t>
      </w:r>
    </w:p>
    <w:bookmarkStart w:id="28" w:name="transparency-and-accountability"/>
    <w:p>
      <w:pPr>
        <w:pStyle w:val="Heading3"/>
      </w:pPr>
      <w:r>
        <w:t xml:space="preserve">4.1 Transparency and Accountability</w:t>
      </w:r>
    </w:p>
    <w:p>
      <w:pPr>
        <w:pStyle w:val="FirstParagraph"/>
      </w:pPr>
      <w:r>
        <w:t xml:space="preserve">The Politician has made strides in increasing transparency by publishing regular updates on project statuses and budget allocations. This openness has contributed to a positive public perception. However, the review suggests that more proactive communication regarding policy rationales and long-term impacts would further strengthen public understanding and support.</w:t>
      </w:r>
    </w:p>
    <w:bookmarkEnd w:id="28"/>
    <w:bookmarkStart w:id="29" w:name="responsiveness-to-citizen-feedback"/>
    <w:p>
      <w:pPr>
        <w:pStyle w:val="Heading3"/>
      </w:pPr>
      <w:r>
        <w:t xml:space="preserve">4.2 Responsiveness to Citizen Feedback</w:t>
      </w:r>
    </w:p>
    <w:p>
      <w:pPr>
        <w:pStyle w:val="FirstParagraph"/>
      </w:pPr>
      <w:r>
        <w:t xml:space="preserve">Feedback channels, including social media and official portals, are monitored regularly. The Politician has addressed several high-profile community concerns, demonstrating responsiveness. To improve, there should be a more structured framework for incorporating citizen feedback into policy revisions, ensuring that the voices of diverse demographic groups in Riyadh are heard and acted upon.</w:t>
      </w:r>
    </w:p>
    <w:bookmarkEnd w:id="29"/>
    <w:bookmarkEnd w:id="30"/>
    <w:bookmarkStart w:id="31" w:name="ethical-standards-and-integrity"/>
    <w:p>
      <w:pPr>
        <w:pStyle w:val="Heading2"/>
      </w:pPr>
      <w:r>
        <w:t xml:space="preserve">5. Ethical Standards and Integrity</w:t>
      </w:r>
    </w:p>
    <w:p>
      <w:pPr>
        <w:pStyle w:val="FirstParagraph"/>
      </w:pPr>
      <w:r>
        <w:t xml:space="preserve">Upholding the highest ethical standards is non-negotiable for a Politician in Saudi Arabia. This review confirms that the subject has maintained a record of integrity, adhering to anti-corruption laws and ethical guidelines. No conflicts of interest were identified during the assessment period. The Politician's commitment to ethical governance serves as a model for public service in Riyadh.</w:t>
      </w:r>
    </w:p>
    <w:bookmarkEnd w:id="31"/>
    <w:bookmarkStart w:id="32" w:name="overall-performance-score"/>
    <w:p>
      <w:pPr>
        <w:pStyle w:val="Heading2"/>
      </w:pPr>
      <w:r>
        <w:t xml:space="preserve">6. Overall Performance Score</w:t>
      </w:r>
    </w:p>
    <w:p>
      <w:pPr>
        <w:pStyle w:val="FirstParagraph"/>
      </w:pPr>
      <w:r>
        <w:t xml:space="preserve">Strategic Alignment:</w:t>
      </w:r>
      <w:r>
        <w:t xml:space="preserve"> </w:t>
      </w:r>
      <w:r>
        <w:t xml:space="preserve">8.5/10</w:t>
      </w:r>
    </w:p>
    <w:p>
      <w:pPr>
        <w:pStyle w:val="BodyText"/>
      </w:pPr>
      <w:r>
        <w:t xml:space="preserve">Governance Efficiency:</w:t>
      </w:r>
      <w:r>
        <w:t xml:space="preserve"> </w:t>
      </w:r>
      <w:r>
        <w:t xml:space="preserve">7.8/10</w:t>
      </w:r>
    </w:p>
    <w:p>
      <w:pPr>
        <w:pStyle w:val="BodyText"/>
      </w:pPr>
      <w:r>
        <w:t xml:space="preserve">Public Engagement:</w:t>
      </w:r>
      <w:r>
        <w:t xml:space="preserve"> </w:t>
      </w:r>
      <w:r>
        <w:t xml:space="preserve">8.0/10</w:t>
      </w:r>
    </w:p>
    <w:p>
      <w:pPr>
        <w:pStyle w:val="BodyText"/>
      </w:pPr>
      <w:r>
        <w:t xml:space="preserve">Ethical Standards:</w:t>
      </w:r>
      <w:r>
        <w:t xml:space="preserve"> </w:t>
      </w:r>
      <w:r>
        <w:t xml:space="preserve">9.5/10</w:t>
      </w:r>
    </w:p>
    <w:p>
      <w:pPr>
        <w:pStyle w:val="BodyText"/>
      </w:pPr>
      <w:r>
        <w:t xml:space="preserve">Overall Rating:</w:t>
      </w:r>
      <w:r>
        <w:t xml:space="preserve"> </w:t>
      </w:r>
      <w:r>
        <w:rPr>
          <w:bCs/>
          <w:b/>
        </w:rPr>
        <w:t xml:space="preserve">8.45/10 (Highly Effective)</w:t>
      </w:r>
    </w:p>
    <w:bookmarkEnd w:id="32"/>
    <w:bookmarkStart w:id="33" w:name="recommendations"/>
    <w:p>
      <w:pPr>
        <w:pStyle w:val="Heading2"/>
      </w:pPr>
      <w:r>
        <w:t xml:space="preserve">7. Recommendations</w:t>
      </w:r>
    </w:p>
    <w:p>
      <w:pPr>
        <w:numPr>
          <w:ilvl w:val="0"/>
          <w:numId w:val="1001"/>
        </w:numPr>
        <w:pStyle w:val="Compact"/>
      </w:pPr>
      <w:r>
        <w:rPr>
          <w:bCs/>
          <w:b/>
        </w:rPr>
        <w:t xml:space="preserve">Enhance SME Support:</w:t>
      </w:r>
      <w:r>
        <w:t xml:space="preserve"> </w:t>
      </w:r>
      <w:r>
        <w:t xml:space="preserve">Develop targeted programs to assist Small and Medium Enterprises in Riyadh, fostering a more inclusive economic ecosystem.</w:t>
      </w:r>
    </w:p>
    <w:p>
      <w:pPr>
        <w:numPr>
          <w:ilvl w:val="0"/>
          <w:numId w:val="1001"/>
        </w:numPr>
        <w:pStyle w:val="Compact"/>
      </w:pPr>
      <w:r>
        <w:rPr>
          <w:bCs/>
          <w:b/>
        </w:rPr>
        <w:t xml:space="preserve">Improve Cross-Sectoral Coordination:</w:t>
      </w:r>
      <w:r>
        <w:t xml:space="preserve"> </w:t>
      </w:r>
      <w:r>
        <w:t xml:space="preserve">Establish joint task forces for complex issues like environmental sustainability to break down administrative silos.</w:t>
      </w:r>
    </w:p>
    <w:p>
      <w:pPr>
        <w:numPr>
          <w:ilvl w:val="0"/>
          <w:numId w:val="1001"/>
        </w:numPr>
        <w:pStyle w:val="Compact"/>
      </w:pPr>
      <w:r>
        <w:rPr>
          <w:bCs/>
          <w:b/>
        </w:rPr>
        <w:t xml:space="preserve">Deepen Citizen Engagement:</w:t>
      </w:r>
      <w:r>
        <w:t xml:space="preserve"> </w:t>
      </w:r>
      <w:r>
        <w:t xml:space="preserve">Implement a formal feedback loop where citizen input directly influences policy adjustments, enhancing democratic participation within the governance framework.</w:t>
      </w:r>
    </w:p>
    <w:p>
      <w:pPr>
        <w:numPr>
          <w:ilvl w:val="0"/>
          <w:numId w:val="1001"/>
        </w:numPr>
        <w:pStyle w:val="Compact"/>
      </w:pPr>
      <w:r>
        <w:rPr>
          <w:bCs/>
          <w:b/>
        </w:rPr>
        <w:t xml:space="preserve">Accelerate Digital Integration:</w:t>
      </w:r>
      <w:r>
        <w:t xml:space="preserve"> </w:t>
      </w:r>
      <w:r>
        <w:t xml:space="preserve">Invest in advanced data analytics tools to improve predictive governance and resource allocation in the rapidly growing capital.</w:t>
      </w:r>
    </w:p>
    <w:bookmarkEnd w:id="33"/>
    <w:bookmarkStart w:id="34" w:name="conclusion"/>
    <w:p>
      <w:pPr>
        <w:pStyle w:val="Heading2"/>
      </w:pPr>
      <w:r>
        <w:t xml:space="preserve">8. Conclusion</w:t>
      </w:r>
    </w:p>
    <w:p>
      <w:pPr>
        <w:pStyle w:val="FirstParagraph"/>
      </w:pPr>
      <w:r>
        <w:t xml:space="preserve">This Peer Review Report concludes that the Politician under assessment is performing at a high level, contributing significantly to the development and stability of Saudi Arabia Riyadh. Their alignment with Vision 2030, commitment to ethical governance, and efforts to improve public services are commendable. By addressing the identified areas for improvement, particularly in SME support and cross-agency collaboration, the Politician can further enhance their effectiveness and continue to drive Riyadh towards its ambitious goals. This review serves as a constructive tool for ongoing professional development and strategic refinement.</w:t>
      </w:r>
    </w:p>
    <w:bookmarkEnd w:id="34"/>
    <w:p>
      <w:pPr>
        <w:pStyle w:val="BodyText"/>
      </w:pPr>
      <w:r>
        <w:rPr>
          <w:bCs/>
          <w:b/>
        </w:rPr>
        <w:t xml:space="preserve">Prepared By:</w:t>
      </w:r>
      <w:r>
        <w:br/>
      </w:r>
      <w:r>
        <w:t xml:space="preserve">Senior Governance Analyst</w:t>
      </w:r>
      <w:r>
        <w:br/>
      </w:r>
      <w:r>
        <w:t xml:space="preserve">Peer Review Committee</w:t>
      </w:r>
    </w:p>
    <w:p>
      <w:pPr>
        <w:pStyle w:val="BodyText"/>
      </w:pPr>
      <w:r>
        <w:rPr>
          <w:bCs/>
          <w:b/>
        </w:rPr>
        <w:t xml:space="preserve">Reviewed By:</w:t>
      </w:r>
      <w:r>
        <w:br/>
      </w:r>
      <w:r>
        <w:t xml:space="preserve">Director of Public Administration</w:t>
      </w:r>
      <w:r>
        <w:br/>
      </w:r>
      <w:r>
        <w:t xml:space="preserve">Riyadh Governance Office</w:t>
      </w:r>
    </w:p>
    <w:p>
      <w:pPr>
        <w:pStyle w:val="BodyText"/>
      </w:pPr>
      <w:r>
        <w:t xml:space="preserve">© 2023 Peer Review Committee. All rights reserved. This document is confidential and intended for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Political Leadership Assessment</dc:title>
  <dc:creator/>
  <dc:language>en</dc:language>
  <cp:keywords/>
  <dcterms:created xsi:type="dcterms:W3CDTF">2026-10-10T02:03:34Z</dcterms:created>
  <dcterms:modified xsi:type="dcterms:W3CDTF">2026-10-10T02:03:34Z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