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Evaluation of a Politician Operating within the Autonomous Community of Madrid</w:t>
      </w:r>
    </w:p>
    <w:bookmarkEnd w:id="20"/>
    <w:p>
      <w:pPr>
        <w:pStyle w:val="BodyText"/>
      </w:pPr>
      <w:r>
        <w:rPr>
          <w:bCs/>
          <w:b/>
        </w:rPr>
        <w:t xml:space="preserve">Report ID:</w:t>
      </w:r>
      <w:r>
        <w:t xml:space="preserve"> </w:t>
      </w:r>
      <w:r>
        <w:t xml:space="preserve">PR-MAD-2023-089</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Governance &amp; Ethics Committee</w:t>
      </w:r>
    </w:p>
    <w:p>
      <w:pPr>
        <w:pStyle w:val="BodyText"/>
      </w:pPr>
      <w:r>
        <w:rPr>
          <w:bCs/>
          <w:b/>
        </w:rPr>
        <w:t xml:space="preserve">Location Context:</w:t>
      </w:r>
      <w:r>
        <w:t xml:space="preserve"> </w:t>
      </w:r>
      <w:r>
        <w:t xml:space="preserve">Spain, Madrid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objective, and data-driven assessment of the performance, ethical standing, and strategic impact of a specific</w:t>
      </w:r>
      <w:r>
        <w:t xml:space="preserve"> </w:t>
      </w:r>
      <w:r>
        <w:rPr>
          <w:bCs/>
          <w:b/>
        </w:rPr>
        <w:t xml:space="preserve">Politician</w:t>
      </w:r>
      <w:r>
        <w:t xml:space="preserve"> </w:t>
      </w:r>
      <w:r>
        <w:t xml:space="preserve">currently holding office in</w:t>
      </w:r>
      <w:r>
        <w:t xml:space="preserve"> </w:t>
      </w:r>
      <w:r>
        <w:rPr>
          <w:bCs/>
          <w:b/>
        </w:rPr>
        <w:t xml:space="preserve">Spain Madrid</w:t>
      </w:r>
      <w:r>
        <w:t xml:space="preserve">. The review was conducted by a panel of independent experts specializing in public administration, urban planning, and political ethics. The primary objective of this document is to evaluate the subject's alignment with the democratic principles of the Spanish Constitution, the Statute of Autonomy of Madrid, and the specific socio-economic needs of the capital region.</w:t>
      </w:r>
    </w:p>
    <w:p>
      <w:pPr>
        <w:pStyle w:val="BodyText"/>
      </w:pPr>
      <w:r>
        <w:t xml:space="preserve">The assessment focuses on the politician's tenure over the last legislative term, analyzing their legislative output, management of public funds, engagement with civil society, and ability to navigate the complex political landscape of the Community of Madrid. The findings presented herein are intended to serve as a transparent record for stakeholders, including constituents, policy analysts, and oversight bodies.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a</w:t>
      </w:r>
      <w:r>
        <w:t xml:space="preserve"> </w:t>
      </w:r>
      <w:r>
        <w:rPr>
          <w:bCs/>
          <w:b/>
        </w:rPr>
        <w:t xml:space="preserve">Politician</w:t>
      </w:r>
      <w:r>
        <w:t xml:space="preserve"> </w:t>
      </w:r>
      <w:r>
        <w:t xml:space="preserve">in</w:t>
      </w:r>
      <w:r>
        <w:t xml:space="preserve"> </w:t>
      </w:r>
      <w:r>
        <w:rPr>
          <w:bCs/>
          <w:b/>
        </w:rPr>
        <w:t xml:space="preserve">Spain Madrid</w:t>
      </w:r>
      <w:r>
        <w:t xml:space="preserve">:</w:t>
      </w:r>
    </w:p>
    <w:p>
      <w:pPr>
        <w:numPr>
          <w:ilvl w:val="0"/>
          <w:numId w:val="1001"/>
        </w:numPr>
        <w:pStyle w:val="Compact"/>
      </w:pPr>
      <w:r>
        <w:rPr>
          <w:bCs/>
          <w:b/>
        </w:rPr>
        <w:t xml:space="preserve">Legislative Effectiveness:</w:t>
      </w:r>
      <w:r>
        <w:t xml:space="preserve"> </w:t>
      </w:r>
      <w:r>
        <w:t xml:space="preserve">Analysis of proposed bills, amendments, and voting records within the Assembly of Madrid.</w:t>
      </w:r>
    </w:p>
    <w:p>
      <w:pPr>
        <w:numPr>
          <w:ilvl w:val="0"/>
          <w:numId w:val="1001"/>
        </w:numPr>
        <w:pStyle w:val="Compact"/>
      </w:pPr>
      <w:r>
        <w:rPr>
          <w:bCs/>
          <w:b/>
        </w:rPr>
        <w:t xml:space="preserve">Public Administration:</w:t>
      </w:r>
      <w:r>
        <w:t xml:space="preserve"> </w:t>
      </w:r>
      <w:r>
        <w:t xml:space="preserve">Evaluation of departmental management, efficiency, and service delivery to citizens.</w:t>
      </w:r>
    </w:p>
    <w:p>
      <w:pPr>
        <w:numPr>
          <w:ilvl w:val="0"/>
          <w:numId w:val="1001"/>
        </w:numPr>
        <w:pStyle w:val="Compact"/>
      </w:pPr>
      <w:r>
        <w:rPr>
          <w:bCs/>
          <w:b/>
        </w:rPr>
        <w:t xml:space="preserve">Ethical Compliance:</w:t>
      </w:r>
      <w:r>
        <w:t xml:space="preserve"> </w:t>
      </w:r>
      <w:r>
        <w:t xml:space="preserve">Review of adherence to the Code of Conduct for Public Officials and transparency laws.</w:t>
      </w:r>
    </w:p>
    <w:p>
      <w:pPr>
        <w:numPr>
          <w:ilvl w:val="0"/>
          <w:numId w:val="1001"/>
        </w:numPr>
        <w:pStyle w:val="Compact"/>
      </w:pPr>
      <w:r>
        <w:rPr>
          <w:bCs/>
          <w:b/>
        </w:rPr>
        <w:t xml:space="preserve">Stakeholder Engagement:</w:t>
      </w:r>
      <w:r>
        <w:t xml:space="preserve"> </w:t>
      </w:r>
      <w:r>
        <w:t xml:space="preserve">Assessment of communication strategies and responsiveness to Madrid's diverse population.</w:t>
      </w:r>
    </w:p>
    <w:p>
      <w:pPr>
        <w:pStyle w:val="FirstParagraph"/>
      </w:pPr>
      <w:r>
        <w:t xml:space="preserve">Methodology included a review of parliamentary transcripts, public expenditure reports, media analysis, and structured interviews with senior civil servants and opposition peers. This multi-faceted approach ensures a balanced perspective, mitigating partisan bias.</w:t>
      </w:r>
    </w:p>
    <w:bookmarkEnd w:id="22"/>
    <w:bookmarkStart w:id="27" w:name="detailed-assessment"/>
    <w:p>
      <w:pPr>
        <w:pStyle w:val="Heading2"/>
      </w:pPr>
      <w:r>
        <w:t xml:space="preserve">3. Detailed Assessment</w:t>
      </w:r>
    </w:p>
    <w:bookmarkStart w:id="23" w:name="Xa85eb2ac9cdbb12fed82b567718cc764ea6e1eb"/>
    <w:p>
      <w:pPr>
        <w:pStyle w:val="Heading3"/>
      </w:pPr>
      <w:r>
        <w:t xml:space="preserve">3.1 Legislative Performance and Policy Impact</w:t>
      </w:r>
    </w:p>
    <w:p>
      <w:pPr>
        <w:pStyle w:val="FirstParagraph"/>
      </w:pPr>
      <w:r>
        <w:t xml:space="preserve">The</w:t>
      </w:r>
      <w:r>
        <w:t xml:space="preserve"> </w:t>
      </w:r>
      <w:r>
        <w:rPr>
          <w:bCs/>
          <w:b/>
        </w:rPr>
        <w:t xml:space="preserve">Politician</w:t>
      </w:r>
      <w:r>
        <w:t xml:space="preserve"> </w:t>
      </w:r>
      <w:r>
        <w:t xml:space="preserve">under review has demonstrated a high level of legislative activity. In the context of</w:t>
      </w:r>
      <w:r>
        <w:t xml:space="preserve"> </w:t>
      </w:r>
      <w:r>
        <w:rPr>
          <w:bCs/>
          <w:b/>
        </w:rPr>
        <w:t xml:space="preserve">Spain Madrid</w:t>
      </w:r>
      <w:r>
        <w:t xml:space="preserve">, where urban density and economic dynamism require agile governance, the subject has been instrumental in advancing policies related to sustainable mobility and digital infrastructure. The peer review panel notes that the politician successfully championed the "Madrid Digital 2030" initiative, which aligns with broader European Union goals for smart cities.</w:t>
      </w:r>
    </w:p>
    <w:p>
      <w:pPr>
        <w:pStyle w:val="BodyText"/>
      </w:pPr>
      <w:r>
        <w:t xml:space="preserve">However, the review also identifies areas for improvement. While the volume of legislative proposals is commendable, the cross-party collaboration required to pass comprehensive housing reform has been inconsistent. Given the housing crisis affecting many residents in the Madrid metropolitan area, a more conciliatory approach is recommended to ensure broader legislative success.</w:t>
      </w:r>
    </w:p>
    <w:bookmarkEnd w:id="23"/>
    <w:bookmarkStart w:id="24" w:name="ethical-standards-and-transparency"/>
    <w:p>
      <w:pPr>
        <w:pStyle w:val="Heading3"/>
      </w:pPr>
      <w:r>
        <w:t xml:space="preserve">3.2 Ethical Standards and Transparency</w:t>
      </w:r>
    </w:p>
    <w:p>
      <w:pPr>
        <w:pStyle w:val="FirstParagraph"/>
      </w:pPr>
      <w:r>
        <w:t xml:space="preserve">Integrity is paramount for any</w:t>
      </w:r>
      <w:r>
        <w:t xml:space="preserve"> </w:t>
      </w:r>
      <w:r>
        <w:rPr>
          <w:bCs/>
          <w:b/>
        </w:rPr>
        <w:t xml:space="preserve">Politician</w:t>
      </w:r>
      <w:r>
        <w:t xml:space="preserve"> </w:t>
      </w:r>
      <w:r>
        <w:t xml:space="preserve">serving in</w:t>
      </w:r>
      <w:r>
        <w:t xml:space="preserve"> </w:t>
      </w:r>
      <w:r>
        <w:rPr>
          <w:bCs/>
          <w:b/>
        </w:rPr>
        <w:t xml:space="preserve">Spain Madrid</w:t>
      </w:r>
      <w:r>
        <w:t xml:space="preserve">. This</w:t>
      </w:r>
      <w:r>
        <w:t xml:space="preserve"> </w:t>
      </w:r>
      <w:r>
        <w:rPr>
          <w:bCs/>
          <w:b/>
        </w:rPr>
        <w:t xml:space="preserve">Peer Review Report</w:t>
      </w:r>
      <w:r>
        <w:t xml:space="preserve"> </w:t>
      </w:r>
      <w:r>
        <w:t xml:space="preserve">confirms that the subject has maintained a clean record regarding conflicts of interest. All required asset declarations have been filed timely and accurately with the relevant oversight bodies. The politician has actively supported the implementation of open data portals, allowing citizens to track public spending in real-time.</w:t>
      </w:r>
    </w:p>
    <w:p>
      <w:pPr>
        <w:pStyle w:val="BodyText"/>
      </w:pPr>
      <w:r>
        <w:t xml:space="preserve">The panel commends the subject for rejecting several lobbying offers that could have compromised impartiality. This adherence to ethical standards strengthens public trust, which is essential for the stability of democratic institutions in the region.</w:t>
      </w:r>
    </w:p>
    <w:bookmarkEnd w:id="24"/>
    <w:bookmarkStart w:id="25" w:name="X14b7c596a118b499e0d4693871a8abdd72ff41e"/>
    <w:p>
      <w:pPr>
        <w:pStyle w:val="Heading3"/>
      </w:pPr>
      <w:r>
        <w:t xml:space="preserve">3.3 Administrative Efficiency and Resource Management</w:t>
      </w:r>
    </w:p>
    <w:p>
      <w:pPr>
        <w:pStyle w:val="FirstParagraph"/>
      </w:pPr>
      <w:r>
        <w:t xml:space="preserve">Managing the budget of a major European capital requires fiscal prudence and strategic foresight. The</w:t>
      </w:r>
      <w:r>
        <w:t xml:space="preserve"> </w:t>
      </w:r>
      <w:r>
        <w:rPr>
          <w:bCs/>
          <w:b/>
        </w:rPr>
        <w:t xml:space="preserve">Politician</w:t>
      </w:r>
      <w:r>
        <w:t xml:space="preserve"> </w:t>
      </w:r>
      <w:r>
        <w:t xml:space="preserve">has overseen a department with a significant budget allocation. The peer review indicates that funds were utilized efficiently, with a 15% reduction in administrative waste achieved through digitalization efforts.</w:t>
      </w:r>
    </w:p>
    <w:p>
      <w:pPr>
        <w:pStyle w:val="BodyText"/>
      </w:pPr>
      <w:r>
        <w:t xml:space="preserve">Specific projects in public health and education received adequate funding, reflecting the priorities of the Madrid regional government. However, the review notes delays in the procurement process for certain infrastructure projects, which may impact long-term economic growth. Streamlining bureaucratic procedures is recommended to enhance operational agility.</w:t>
      </w:r>
    </w:p>
    <w:bookmarkEnd w:id="25"/>
    <w:bookmarkStart w:id="26" w:name="communication-and-public-engagement"/>
    <w:p>
      <w:pPr>
        <w:pStyle w:val="Heading3"/>
      </w:pPr>
      <w:r>
        <w:t xml:space="preserve">3.4 Communication and Public Engagement</w:t>
      </w:r>
    </w:p>
    <w:p>
      <w:pPr>
        <w:pStyle w:val="FirstParagraph"/>
      </w:pPr>
      <w:r>
        <w:t xml:space="preserve">Effective communication is a critical skill for a</w:t>
      </w:r>
      <w:r>
        <w:t xml:space="preserve"> </w:t>
      </w:r>
      <w:r>
        <w:rPr>
          <w:bCs/>
          <w:b/>
        </w:rPr>
        <w:t xml:space="preserve">Politician</w:t>
      </w:r>
      <w:r>
        <w:t xml:space="preserve"> </w:t>
      </w:r>
      <w:r>
        <w:t xml:space="preserve">in</w:t>
      </w:r>
      <w:r>
        <w:t xml:space="preserve"> </w:t>
      </w:r>
      <w:r>
        <w:rPr>
          <w:bCs/>
          <w:b/>
        </w:rPr>
        <w:t xml:space="preserve">Spain Madrid</w:t>
      </w:r>
      <w:r>
        <w:t xml:space="preserve">, a city characterized by a vibrant civil society and active media landscape. The subject has maintained a strong presence on digital platforms, ensuring that policy updates are accessible to a wide audience. Town hall meetings have been conducted regularly, providing direct channels for citizen feedback.</w:t>
      </w:r>
    </w:p>
    <w:p>
      <w:pPr>
        <w:pStyle w:val="BodyText"/>
      </w:pPr>
      <w:r>
        <w:t xml:space="preserve">The peer review panel observes that while communication is frequent, it occasionally lacks depth on complex technical issues. Enhancing the clarity and accessibility of policy explanations will help bridge the gap between government actions and public understanding.</w:t>
      </w:r>
    </w:p>
    <w:bookmarkEnd w:id="26"/>
    <w:bookmarkEnd w:id="27"/>
    <w:bookmarkStart w:id="28" w:name="scoring-and-evaluation"/>
    <w:p>
      <w:pPr>
        <w:pStyle w:val="Heading2"/>
      </w:pPr>
      <w:r>
        <w:t xml:space="preserve">4. Scoring and Evaluation</w:t>
      </w:r>
    </w:p>
    <w:p>
      <w:pPr>
        <w:pStyle w:val="FirstParagraph"/>
      </w:pPr>
      <w:r>
        <w:t xml:space="preserve">Legislative Effectiveness:</w:t>
      </w:r>
      <w:r>
        <w:t xml:space="preserve"> </w:t>
      </w:r>
      <w:r>
        <w:t xml:space="preserve">8.5 / 10</w:t>
      </w:r>
    </w:p>
    <w:p>
      <w:pPr>
        <w:pStyle w:val="BodyText"/>
      </w:pPr>
      <w:r>
        <w:t xml:space="preserve">Ethical Compliance:</w:t>
      </w:r>
      <w:r>
        <w:t xml:space="preserve"> </w:t>
      </w:r>
      <w:r>
        <w:t xml:space="preserve">9.5 / 10</w:t>
      </w:r>
    </w:p>
    <w:p>
      <w:pPr>
        <w:pStyle w:val="BodyText"/>
      </w:pPr>
      <w:r>
        <w:t xml:space="preserve">Administrative Efficiency:</w:t>
      </w:r>
      <w:r>
        <w:t xml:space="preserve"> </w:t>
      </w:r>
      <w:r>
        <w:t xml:space="preserve">7.8 / 10</w:t>
      </w:r>
    </w:p>
    <w:p>
      <w:pPr>
        <w:pStyle w:val="BodyText"/>
      </w:pPr>
      <w:r>
        <w:t xml:space="preserve">Public Engagement:</w:t>
      </w:r>
      <w:r>
        <w:t xml:space="preserve"> </w:t>
      </w:r>
      <w:r>
        <w:t xml:space="preserve">8.0 / 10</w:t>
      </w:r>
    </w:p>
    <w:p>
      <w:pPr>
        <w:pStyle w:val="BodyText"/>
      </w:pPr>
      <w:r>
        <w:t xml:space="preserve">Overall Performance Rating:</w:t>
      </w:r>
      <w:r>
        <w:t xml:space="preserve"> </w:t>
      </w:r>
      <w:r>
        <w:t xml:space="preserve">8.45 / 10 (Excellent)</w:t>
      </w:r>
    </w:p>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panel offers the following recommendations for the</w:t>
      </w:r>
      <w:r>
        <w:t xml:space="preserve"> </w:t>
      </w:r>
      <w:r>
        <w:rPr>
          <w:bCs/>
          <w:b/>
        </w:rPr>
        <w:t xml:space="preserve">Politician</w:t>
      </w:r>
      <w:r>
        <w:t xml:space="preserve"> </w:t>
      </w:r>
      <w:r>
        <w:t xml:space="preserve">to further enhance their service to</w:t>
      </w:r>
      <w:r>
        <w:t xml:space="preserve"> </w:t>
      </w:r>
      <w:r>
        <w:rPr>
          <w:bCs/>
          <w:b/>
        </w:rPr>
        <w:t xml:space="preserve">Spain Madrid</w:t>
      </w:r>
      <w:r>
        <w:t xml:space="preserve">:</w:t>
      </w:r>
    </w:p>
    <w:p>
      <w:pPr>
        <w:numPr>
          <w:ilvl w:val="0"/>
          <w:numId w:val="1002"/>
        </w:numPr>
        <w:pStyle w:val="Compact"/>
      </w:pPr>
      <w:r>
        <w:rPr>
          <w:bCs/>
          <w:b/>
        </w:rPr>
        <w:t xml:space="preserve">Enhance Bipartisan Collaboration:</w:t>
      </w:r>
      <w:r>
        <w:t xml:space="preserve"> </w:t>
      </w:r>
      <w:r>
        <w:t xml:space="preserve">Prioritize dialogue with opposition parties to address critical issues such as housing affordability and climate resilience.</w:t>
      </w:r>
    </w:p>
    <w:p>
      <w:pPr>
        <w:numPr>
          <w:ilvl w:val="0"/>
          <w:numId w:val="1002"/>
        </w:numPr>
        <w:pStyle w:val="Compact"/>
      </w:pPr>
      <w:r>
        <w:rPr>
          <w:bCs/>
          <w:b/>
        </w:rPr>
        <w:t xml:space="preserve">Optimize Procurement Processes:</w:t>
      </w:r>
      <w:r>
        <w:t xml:space="preserve"> </w:t>
      </w:r>
      <w:r>
        <w:t xml:space="preserve">Implement faster, transparent procurement protocols to accelerate infrastructure development.</w:t>
      </w:r>
    </w:p>
    <w:p>
      <w:pPr>
        <w:numPr>
          <w:ilvl w:val="0"/>
          <w:numId w:val="1002"/>
        </w:numPr>
        <w:pStyle w:val="Compact"/>
      </w:pPr>
      <w:r>
        <w:rPr>
          <w:bCs/>
          <w:b/>
        </w:rPr>
        <w:t xml:space="preserve">Deepen Policy Communication:</w:t>
      </w:r>
      <w:r>
        <w:t xml:space="preserve"> </w:t>
      </w:r>
      <w:r>
        <w:t xml:space="preserve">Develop simplified educational materials to help citizens understand complex legislative measures.</w:t>
      </w:r>
    </w:p>
    <w:p>
      <w:pPr>
        <w:numPr>
          <w:ilvl w:val="0"/>
          <w:numId w:val="1002"/>
        </w:numPr>
        <w:pStyle w:val="Compact"/>
      </w:pPr>
      <w:r>
        <w:rPr>
          <w:bCs/>
          <w:b/>
        </w:rPr>
        <w:t xml:space="preserve">Strengthen Youth Engagement:</w:t>
      </w:r>
      <w:r>
        <w:t xml:space="preserve"> </w:t>
      </w:r>
      <w:r>
        <w:t xml:space="preserve">Create dedicated forums for young Madrileños to participate in policy-making, ensuring intergenerational equity.</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Politician</w:t>
      </w:r>
      <w:r>
        <w:t xml:space="preserve"> </w:t>
      </w:r>
      <w:r>
        <w:t xml:space="preserve">under review has performed their duties with a high degree of professionalism, integrity, and dedication. Their contributions have positively impacted the governance of</w:t>
      </w:r>
      <w:r>
        <w:t xml:space="preserve"> </w:t>
      </w:r>
      <w:r>
        <w:rPr>
          <w:bCs/>
          <w:b/>
        </w:rPr>
        <w:t xml:space="preserve">Spain Madrid</w:t>
      </w:r>
      <w:r>
        <w:t xml:space="preserve">, particularly in the areas of digital innovation and ethical leadership. While there are opportunities for improvement in administrative efficiency and cross-party cooperation, the overall assessment is highly favorable. The subject is well-positioned to continue serving the citizens of Madrid effectively in the coming legislative term.</w:t>
      </w:r>
    </w:p>
    <w:bookmarkEnd w:id="30"/>
    <w:p>
      <w:pPr>
        <w:pStyle w:val="BodyText"/>
      </w:pPr>
      <w:r>
        <w:rPr>
          <w:bCs/>
          <w:b/>
        </w:rPr>
        <w:t xml:space="preserve">Disclaimer:</w:t>
      </w:r>
      <w:r>
        <w:t xml:space="preserve"> </w:t>
      </w:r>
      <w:r>
        <w:t xml:space="preserve">This document is a simulated Peer Review Report created for illustrative purposes. It does not refer to any specific real-world individual unless explicitly stated. All data and scores are fictional.</w:t>
      </w:r>
    </w:p>
    <w:p>
      <w:pPr>
        <w:pStyle w:val="BodyText"/>
      </w:pPr>
      <w:r>
        <w:t xml:space="preserve">© 2023 Independent Governance &amp; Ethics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2026-10-10T07:07:56Z</dcterms:created>
  <dcterms:modified xsi:type="dcterms:W3CDTF">2026-10-10T07:07:56Z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