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Performance Evaluation of Senior Politician</w:t>
      </w:r>
    </w:p>
    <w:p>
      <w:pPr>
        <w:pStyle w:val="BodyText"/>
      </w:pPr>
      <w:r>
        <w:rPr>
          <w:bCs/>
          <w:b/>
        </w:rPr>
        <w:t xml:space="preserve">Location:</w:t>
      </w:r>
      <w:r>
        <w:t xml:space="preserve"> </w:t>
      </w:r>
      <w:r>
        <w:t xml:space="preserve">Turkey Ankara (Central Government District)</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Independent Governance &amp; Ethics Committee</w:t>
      </w:r>
    </w:p>
    <w:p>
      <w:pPr>
        <w:pStyle w:val="BodyText"/>
      </w:pPr>
      <w:r>
        <w:rPr>
          <w:bCs/>
          <w:b/>
        </w:rPr>
        <w:t xml:space="preserve">Reference ID:</w:t>
      </w:r>
      <w:r>
        <w:t xml:space="preserve"> </w:t>
      </w:r>
      <w:r>
        <w:t xml:space="preserve">TR-ANK-PR-2023-089</w:t>
      </w:r>
    </w:p>
    <w:p>
      <w:pPr>
        <w:pStyle w:val="BodyText"/>
      </w:pPr>
      <w:r>
        <w:rPr>
          <w:bCs/>
          <w:b/>
        </w:rPr>
        <w:t xml:space="preserve">Classification:</w:t>
      </w:r>
      <w:r>
        <w:t xml:space="preserve"> </w:t>
      </w:r>
      <w:r>
        <w:t xml:space="preserve">Internal / Confidential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legislative effectiveness, and administrative integrity of a senior Politician currently serving within the governmental framework of Turkey Ankara. As the capital city, Ankara serves as the epicenter of national decision-making, requiring its political representatives to adhere to the highest standards of public service. This document provides a comprehensive analysis based on peer feedback, legislative records, and public engagement metrics over the past fiscal year.</w:t>
      </w:r>
    </w:p>
    <w:p>
      <w:pPr>
        <w:pStyle w:val="BodyText"/>
      </w:pPr>
      <w:r>
        <w:t xml:space="preserve">The review aims to identify strengths in policy formulation, areas requiring improvement in stakeholder communication, and adherence to the ethical codes mandated by the Turkish parliamentary system. The findings presented herein are intended to foster professional growth and enhance the overall quality of governance in the region.</w:t>
      </w:r>
    </w:p>
    <w:bookmarkEnd w:id="21"/>
    <w:bookmarkStart w:id="22" w:name="scope-and-methodology"/>
    <w:p>
      <w:pPr>
        <w:pStyle w:val="Heading2"/>
      </w:pPr>
      <w:r>
        <w:t xml:space="preserve">2. Scope and Methodology</w:t>
      </w:r>
    </w:p>
    <w:p>
      <w:pPr>
        <w:pStyle w:val="FirstParagraph"/>
      </w:pPr>
      <w:r>
        <w:t xml:space="preserve">The scope of this review encompasses the Politician's activities specifically within the jurisdiction of Turkey Ankara, including interactions with the Grand National Assembly, local municipal authorities, and constituent groups. The methodology employed includes:</w:t>
      </w:r>
    </w:p>
    <w:p>
      <w:pPr>
        <w:numPr>
          <w:ilvl w:val="0"/>
          <w:numId w:val="1001"/>
        </w:numPr>
        <w:pStyle w:val="Compact"/>
      </w:pPr>
      <w:r>
        <w:rPr>
          <w:bCs/>
          <w:b/>
        </w:rPr>
        <w:t xml:space="preserve">Peer Interviews:</w:t>
      </w:r>
      <w:r>
        <w:t xml:space="preserve"> </w:t>
      </w:r>
      <w:r>
        <w:t xml:space="preserve">Structured interviews with 15 fellow legislators and senior civil servants.</w:t>
      </w:r>
    </w:p>
    <w:p>
      <w:pPr>
        <w:numPr>
          <w:ilvl w:val="0"/>
          <w:numId w:val="1001"/>
        </w:numPr>
        <w:pStyle w:val="Compact"/>
      </w:pPr>
      <w:r>
        <w:rPr>
          <w:bCs/>
          <w:b/>
        </w:rPr>
        <w:t xml:space="preserve">Document Analysis:</w:t>
      </w:r>
      <w:r>
        <w:t xml:space="preserve"> </w:t>
      </w:r>
      <w:r>
        <w:t xml:space="preserve">Review of legislative proposals, voting records, and committee reports.</w:t>
      </w:r>
    </w:p>
    <w:p>
      <w:pPr>
        <w:numPr>
          <w:ilvl w:val="0"/>
          <w:numId w:val="1001"/>
        </w:numPr>
        <w:pStyle w:val="Compact"/>
      </w:pPr>
      <w:r>
        <w:rPr>
          <w:bCs/>
          <w:b/>
        </w:rPr>
        <w:t xml:space="preserve">Public Sentiment Analysis:</w:t>
      </w:r>
      <w:r>
        <w:t xml:space="preserve"> </w:t>
      </w:r>
      <w:r>
        <w:t xml:space="preserve">Assessment of media coverage and constituent feedback channels.</w:t>
      </w:r>
    </w:p>
    <w:p>
      <w:pPr>
        <w:numPr>
          <w:ilvl w:val="0"/>
          <w:numId w:val="1001"/>
        </w:numPr>
        <w:pStyle w:val="Compact"/>
      </w:pPr>
      <w:r>
        <w:rPr>
          <w:bCs/>
          <w:b/>
        </w:rPr>
        <w:t xml:space="preserve">Ethical Compliance Audit:</w:t>
      </w:r>
      <w:r>
        <w:t xml:space="preserve"> </w:t>
      </w:r>
      <w:r>
        <w:t xml:space="preserve">Verification of adherence to conflict of interest regulations.</w:t>
      </w:r>
    </w:p>
    <w:bookmarkEnd w:id="22"/>
    <w:bookmarkStart w:id="25" w:name="Xa85eb2ac9cdbb12fed82b567718cc764ea6e1eb"/>
    <w:p>
      <w:pPr>
        <w:pStyle w:val="Heading2"/>
      </w:pPr>
      <w:r>
        <w:t xml:space="preserve">3. Legislative Performance and Policy Impact</w:t>
      </w:r>
    </w:p>
    <w:bookmarkStart w:id="23" w:name="policy-formulation"/>
    <w:p>
      <w:pPr>
        <w:pStyle w:val="Heading3"/>
      </w:pPr>
      <w:r>
        <w:t xml:space="preserve">3.1. Policy Formulation</w:t>
      </w:r>
    </w:p>
    <w:p>
      <w:pPr>
        <w:pStyle w:val="FirstParagraph"/>
      </w:pPr>
      <w:r>
        <w:t xml:space="preserve">The Politician has demonstrated a robust capacity for policy formulation, particularly in sectors relevant to the economic development of Turkey Ankara. Peers have noted a high level of technical proficiency in drafting legislation related to urban infrastructure and digital transformation. The ability to synthesize complex data into actionable policy frameworks is a significant strength.</w:t>
      </w:r>
    </w:p>
    <w:bookmarkEnd w:id="23"/>
    <w:bookmarkStart w:id="24" w:name="collaboration-and-consensus-building"/>
    <w:p>
      <w:pPr>
        <w:pStyle w:val="Heading3"/>
      </w:pPr>
      <w:r>
        <w:t xml:space="preserve">3.2. Collaboration and Consensus Building</w:t>
      </w:r>
    </w:p>
    <w:p>
      <w:pPr>
        <w:pStyle w:val="FirstParagraph"/>
      </w:pPr>
      <w:r>
        <w:t xml:space="preserve">In the diverse political landscape of Ankara, the ability to build consensus is paramount. The review indicates that the Politician actively engages in cross-party dialogue. However, some peers suggest that while the individual is effective in formal committee settings, there is room for improvement in informal coalition building. Enhancing these soft skills could lead to more expedited legislative processes.</w:t>
      </w:r>
    </w:p>
    <w:bookmarkEnd w:id="24"/>
    <w:bookmarkEnd w:id="25"/>
    <w:bookmarkStart w:id="26" w:name="administrative-integrity-and-ethics"/>
    <w:p>
      <w:pPr>
        <w:pStyle w:val="Heading2"/>
      </w:pPr>
      <w:r>
        <w:t xml:space="preserve">4. Administrative Integrity and Ethics</w:t>
      </w:r>
    </w:p>
    <w:p>
      <w:pPr>
        <w:pStyle w:val="FirstParagraph"/>
      </w:pPr>
      <w:r>
        <w:t xml:space="preserve">Integrity is the cornerstone of public trust. This section evaluates the Politician's adherence to the ethical standards expected of public officials in Turkey.</w:t>
      </w:r>
    </w:p>
    <w:p>
      <w:pPr>
        <w:numPr>
          <w:ilvl w:val="0"/>
          <w:numId w:val="1002"/>
        </w:numPr>
        <w:pStyle w:val="Compact"/>
      </w:pPr>
      <w:r>
        <w:rPr>
          <w:bCs/>
          <w:b/>
        </w:rPr>
        <w:t xml:space="preserve">Transparency:</w:t>
      </w:r>
      <w:r>
        <w:t xml:space="preserve"> </w:t>
      </w:r>
      <w:r>
        <w:t xml:space="preserve">The Politician has maintained transparent financial disclosures, aligning with national regulations. No conflicts of interest were identified during the audit period.</w:t>
      </w:r>
    </w:p>
    <w:p>
      <w:pPr>
        <w:numPr>
          <w:ilvl w:val="0"/>
          <w:numId w:val="1002"/>
        </w:numPr>
        <w:pStyle w:val="Compact"/>
      </w:pPr>
      <w:r>
        <w:rPr>
          <w:bCs/>
          <w:b/>
        </w:rPr>
        <w:t xml:space="preserve">Accountability:</w:t>
      </w:r>
      <w:r>
        <w:t xml:space="preserve"> </w:t>
      </w:r>
      <w:r>
        <w:t xml:space="preserve">Responses to parliamentary inquiries were timely and substantive. The Politician accepts responsibility for committee outcomes, reflecting a mature approach to governance.</w:t>
      </w:r>
    </w:p>
    <w:p>
      <w:pPr>
        <w:numPr>
          <w:ilvl w:val="0"/>
          <w:numId w:val="1002"/>
        </w:numPr>
        <w:pStyle w:val="Compact"/>
      </w:pPr>
      <w:r>
        <w:rPr>
          <w:bCs/>
          <w:b/>
        </w:rPr>
        <w:t xml:space="preserve">Compliance:</w:t>
      </w:r>
      <w:r>
        <w:t xml:space="preserve"> </w:t>
      </w:r>
      <w:r>
        <w:t xml:space="preserve">All administrative procedures followed the protocols established by the relevant ministries in Ankara.</w:t>
      </w:r>
    </w:p>
    <w:bookmarkEnd w:id="26"/>
    <w:bookmarkStart w:id="27" w:name="X84c4a522b435caaae16366c95e595b082697525"/>
    <w:p>
      <w:pPr>
        <w:pStyle w:val="Heading2"/>
      </w:pPr>
      <w:r>
        <w:t xml:space="preserve">5. Constituent Engagement and Public Representation</w:t>
      </w:r>
    </w:p>
    <w:p>
      <w:pPr>
        <w:pStyle w:val="FirstParagraph"/>
      </w:pPr>
      <w:r>
        <w:t xml:space="preserve">As a representative in Turkey Ankara, the Politician is expected to bridge the gap between the central government and the citizens. The review highlights a strong digital presence, utilizing social media platforms to disseminate information effectively.</w:t>
      </w:r>
    </w:p>
    <w:p>
      <w:pPr>
        <w:pStyle w:val="BodyText"/>
      </w:pPr>
      <w:r>
        <w:t xml:space="preserve">However, peer feedback suggests that physical town hall meetings and direct engagement with local community leaders in Ankara's peripheral districts could be increased. While the Politician is highly visible in the central government district, expanding outreach to underserved areas would strengthen their mandate and ensure a more inclusive representation of the electorate.</w:t>
      </w:r>
    </w:p>
    <w:bookmarkEnd w:id="27"/>
    <w:bookmarkStart w:id="28" w:name="areas-for-improvement"/>
    <w:p>
      <w:pPr>
        <w:pStyle w:val="Heading2"/>
      </w:pPr>
      <w:r>
        <w:t xml:space="preserve">6. Areas for Improvement</w:t>
      </w:r>
    </w:p>
    <w:p>
      <w:pPr>
        <w:pStyle w:val="FirstParagraph"/>
      </w:pPr>
      <w:r>
        <w:t xml:space="preserve">Based on the comprehensive data collected, the following areas have been identified for professional development:</w:t>
      </w:r>
    </w:p>
    <w:p>
      <w:pPr>
        <w:numPr>
          <w:ilvl w:val="0"/>
          <w:numId w:val="1003"/>
        </w:numPr>
        <w:pStyle w:val="Compact"/>
      </w:pPr>
      <w:r>
        <w:rPr>
          <w:bCs/>
          <w:b/>
        </w:rPr>
        <w:t xml:space="preserve">Strategic Communication:</w:t>
      </w:r>
      <w:r>
        <w:t xml:space="preserve"> </w:t>
      </w:r>
      <w:r>
        <w:t xml:space="preserve">Refining messaging strategies to better address complex socio-economic issues facing Ankara residents.</w:t>
      </w:r>
    </w:p>
    <w:p>
      <w:pPr>
        <w:numPr>
          <w:ilvl w:val="0"/>
          <w:numId w:val="1003"/>
        </w:numPr>
        <w:pStyle w:val="Compact"/>
      </w:pPr>
      <w:r>
        <w:rPr>
          <w:bCs/>
          <w:b/>
        </w:rPr>
        <w:t xml:space="preserve">Delegation:</w:t>
      </w:r>
      <w:r>
        <w:t xml:space="preserve"> </w:t>
      </w:r>
      <w:r>
        <w:t xml:space="preserve">Improving delegation of administrative tasks to allow for greater focus on high-level legislative strategy.</w:t>
      </w:r>
    </w:p>
    <w:p>
      <w:pPr>
        <w:numPr>
          <w:ilvl w:val="0"/>
          <w:numId w:val="1003"/>
        </w:numPr>
        <w:pStyle w:val="Compact"/>
      </w:pPr>
      <w:r>
        <w:rPr>
          <w:bCs/>
          <w:b/>
        </w:rPr>
        <w:t xml:space="preserve">Regional Outreach:</w:t>
      </w:r>
      <w:r>
        <w:t xml:space="preserve"> </w:t>
      </w:r>
      <w:r>
        <w:t xml:space="preserve">Increasing the frequency of visits to local municipalities within the Ankara province to gather grassroots feedback.</w:t>
      </w:r>
    </w:p>
    <w:bookmarkEnd w:id="28"/>
    <w:bookmarkStart w:id="29" w:name="conclusion-and-recommendations"/>
    <w:p>
      <w:pPr>
        <w:pStyle w:val="Heading2"/>
      </w:pPr>
      <w:r>
        <w:t xml:space="preserve">7. Conclusion and Recommendations</w:t>
      </w:r>
    </w:p>
    <w:p>
      <w:pPr>
        <w:pStyle w:val="FirstParagraph"/>
      </w:pPr>
      <w:r>
        <w:t xml:space="preserve">In conclusion, this Peer Review Report affirms that the Politician is a competent and dedicated public servant contributing positively to the governance of Turkey Ankara. The individual exhibits strong legislative skills, high ethical standards, and a commitment to public service.</w:t>
      </w:r>
    </w:p>
    <w:p>
      <w:pPr>
        <w:pStyle w:val="BodyText"/>
      </w:pPr>
      <w:r>
        <w:t xml:space="preserve">It is recommended that the Politician adopts the suggested improvements regarding constituent outreach and strategic communication. By addressing these areas, the Politician can further enhance their effectiveness and continue to serve as a model of leadership within the Turkish political system. This report serves as a constructive tool for ongoing professional development and accountability.</w:t>
      </w:r>
    </w:p>
    <w:bookmarkEnd w:id="29"/>
    <w:p>
      <w:pPr>
        <w:pStyle w:val="BodyText"/>
      </w:pPr>
      <w:r>
        <w:rPr>
          <w:bCs/>
          <w:b/>
        </w:rPr>
        <w:t xml:space="preserve">Dr. Ahmet Yilmaz</w:t>
      </w:r>
      <w:r>
        <w:br/>
      </w:r>
      <w:r>
        <w:t xml:space="preserve">Chairperson, Peer Review Board</w:t>
      </w:r>
    </w:p>
    <w:p>
      <w:pPr>
        <w:pStyle w:val="BodyText"/>
      </w:pPr>
      <w:r>
        <w:rPr>
          <w:bCs/>
          <w:b/>
        </w:rPr>
        <w:t xml:space="preserve">Prof. Elif Kaya</w:t>
      </w:r>
      <w:r>
        <w:br/>
      </w:r>
      <w:r>
        <w:t xml:space="preserve">Lead Auditor, Governance Ethics</w:t>
      </w:r>
    </w:p>
    <w:p>
      <w:pPr>
        <w:pStyle w:val="BodyText"/>
      </w:pPr>
      <w:r>
        <w:t xml:space="preserve">© 2023 Independent Governance &amp; Ethics Committee.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2026-10-10T03:53:39Z</dcterms:created>
  <dcterms:modified xsi:type="dcterms:W3CDTF">2026-10-10T03:53:39Z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