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7" w:name="confidential-peer-review-report"/>
    <w:p>
      <w:pPr>
        <w:pStyle w:val="Heading1"/>
      </w:pPr>
      <w:r>
        <w:t xml:space="preserve">Confidential Peer Review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Dhaka, Bangladesh</w:t>
      </w:r>
      <w:r>
        <w:br/>
      </w:r>
      <w:r>
        <w:rPr>
          <w:bCs/>
          <w:b/>
        </w:rPr>
        <w:t xml:space="preserve">Institution:</w:t>
      </w:r>
      <w:r>
        <w:t xml:space="preserve"> </w:t>
      </w:r>
      <w:r>
        <w:t xml:space="preserve">[Insert University Name], Dhaka Campus</w:t>
      </w:r>
    </w:p>
    <w:p>
      <w:pPr>
        <w:pStyle w:val="BodyText"/>
      </w:pPr>
      <w:r>
        <w:rPr>
          <w:bCs/>
          <w:b/>
        </w:rPr>
        <w:t xml:space="preserve">Review Type:</w:t>
      </w:r>
      <w:r>
        <w:t xml:space="preserve"> </w:t>
      </w:r>
      <w:r>
        <w:t xml:space="preserve">Annual Performance &amp; Tenure Review</w:t>
      </w:r>
      <w:r>
        <w:br/>
      </w:r>
      <w:r>
        <w:rPr>
          <w:bCs/>
          <w:b/>
        </w:rPr>
        <w:t xml:space="preserve">Department:</w:t>
      </w:r>
      <w:r>
        <w:t xml:space="preserve"> </w:t>
      </w:r>
      <w:r>
        <w:t xml:space="preserve">Faculty of Science and Engineering</w:t>
      </w:r>
    </w:p>
    <w:bookmarkStart w:id="20" w:name="subject-of-review"/>
    <w:p>
      <w:pPr>
        <w:pStyle w:val="Heading3"/>
      </w:pPr>
      <w:r>
        <w:t xml:space="preserve">Subject of Review</w:t>
      </w:r>
    </w:p>
    <w:p>
      <w:pPr>
        <w:pStyle w:val="FirstParagraph"/>
      </w:pPr>
      <w:r>
        <w:rPr>
          <w:bCs/>
          <w:b/>
        </w:rPr>
        <w:t xml:space="preserve">Name:</w:t>
      </w:r>
      <w:r>
        <w:t xml:space="preserve"> </w:t>
      </w:r>
      <w:r>
        <w:t xml:space="preserve">Professor [Insert Name]</w:t>
      </w:r>
      <w:r>
        <w:br/>
      </w:r>
      <w:r>
        <w:rPr>
          <w:bCs/>
          <w:b/>
        </w:rPr>
        <w:t xml:space="preserve">Designation:</w:t>
      </w:r>
      <w:r>
        <w:t xml:space="preserve"> </w:t>
      </w:r>
      <w:r>
        <w:t xml:space="preserve">Professor</w:t>
      </w:r>
      <w:r>
        <w:br/>
      </w:r>
      <w:r>
        <w:rPr>
          <w:bCs/>
          <w:b/>
        </w:rPr>
        <w:t xml:space="preserve">Department:</w:t>
      </w:r>
      <w:r>
        <w:t xml:space="preserve"> </w:t>
      </w:r>
      <w:r>
        <w:t xml:space="preserve">[Insert Department]</w:t>
      </w:r>
      <w:r>
        <w:br/>
      </w:r>
      <w:r>
        <w:rPr>
          <w:bCs/>
          <w:b/>
        </w:rPr>
        <w:t xml:space="preserve">Review Period:</w:t>
      </w:r>
      <w:r>
        <w:t xml:space="preserve"> </w:t>
      </w:r>
      <w:r>
        <w:t xml:space="preserve">July 2022 – June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evaluate the professional performance, academic contributions, and administrative conduct of the Professor during the specified review period. The evaluation takes place within the rigorous academic framework of Bangladesh Dhaka, where higher education institutions are increasingly striving for international accreditation and research excellence. The review panel, consisting of senior faculty members from the department, has assessed the Professor’s work based on teaching efficacy, research output, community engagement, and adherence to the ethical standards expected of a senior academic in this region.</w:t>
      </w:r>
    </w:p>
    <w:bookmarkEnd w:id="21"/>
    <w:bookmarkStart w:id="22" w:name="teaching-and-pedagogical-excellence"/>
    <w:p>
      <w:pPr>
        <w:pStyle w:val="Heading2"/>
      </w:pPr>
      <w:r>
        <w:t xml:space="preserve">2. Teaching and Pedagogical Excellence</w:t>
      </w:r>
    </w:p>
    <w:p>
      <w:pPr>
        <w:pStyle w:val="FirstParagraph"/>
      </w:pPr>
      <w:r>
        <w:t xml:space="preserve">The Professor has demonstrated a commendable commitment to teaching excellence. In the context of the competitive academic environment in Dhaka, the ability to mentor a large volume of students while maintaining high standards is crucial. The review panel observed that the Professor’s lectures are well-structured, engaging, and deeply rooted in current theoretical frameworks.</w:t>
      </w:r>
    </w:p>
    <w:p>
      <w:pPr>
        <w:pStyle w:val="BodyText"/>
      </w:pPr>
      <w:r>
        <w:t xml:space="preserve">Student feedback forms indicate a high level of satisfaction regarding the Professor’s approachability and clarity of instruction. Furthermore, the Professor has successfully integrated modern pedagogical tools into the curriculum, moving beyond traditional rote learning methods often prevalent in the region. This shift is vital for preparing students for the global job market. The Professor’s supervision of undergraduate and postgraduate thesis work has been particularly noted for its rigor and constructive guidance, resulting in several high-distinction projects this year.</w:t>
      </w:r>
    </w:p>
    <w:bookmarkEnd w:id="22"/>
    <w:bookmarkStart w:id="23" w:name="research-and-scholarly-contributions"/>
    <w:p>
      <w:pPr>
        <w:pStyle w:val="Heading2"/>
      </w:pPr>
      <w:r>
        <w:t xml:space="preserve">3. Research and Scholarly Contributions</w:t>
      </w:r>
    </w:p>
    <w:p>
      <w:pPr>
        <w:pStyle w:val="FirstParagraph"/>
      </w:pPr>
      <w:r>
        <w:t xml:space="preserve">Research productivity is a key metric for any Professor in Bangladesh Dhaka, especially as local universities aim to improve their global rankings. The subject of this review has maintained a robust research portfolio. During the review period, the Professor published four peer-reviewed articles in reputable international journals, two of which were indexed in Scopus and Web of Science. This is a significant achievement that enhances the reputation of the institution.</w:t>
      </w:r>
    </w:p>
    <w:p>
      <w:pPr>
        <w:pStyle w:val="BodyText"/>
      </w:pPr>
      <w:r>
        <w:t xml:space="preserve">Additionally, the Professor has actively sought external funding, securing a research grant from a national science foundation to investigate local environmental challenges. This demonstrates not only academic prowess but also a commitment to solving practical problems relevant to Bangladesh. The Professor’s ability to collaborate with international scholars while maintaining a focus on local issues is highly valued by the department.</w:t>
      </w:r>
    </w:p>
    <w:bookmarkEnd w:id="23"/>
    <w:bookmarkStart w:id="24" w:name="service-and-leadership"/>
    <w:p>
      <w:pPr>
        <w:pStyle w:val="Heading2"/>
      </w:pPr>
      <w:r>
        <w:t xml:space="preserve">4. Service and Leadership</w:t>
      </w:r>
    </w:p>
    <w:p>
      <w:pPr>
        <w:pStyle w:val="FirstParagraph"/>
      </w:pPr>
      <w:r>
        <w:t xml:space="preserve">Beyond teaching and research, the Professor has played a pivotal role in the administrative and service aspects of the university. Serving as the Head of the Curriculum Committee, the Professor led the revision of the departmental syllabus to align with the National Curriculum and Credit Framework (NCCF) of Bangladesh. This was a complex task requiring diplomatic skill and academic foresight, both of which the Professor exhibited.</w:t>
      </w:r>
    </w:p>
    <w:p>
      <w:pPr>
        <w:pStyle w:val="BodyText"/>
      </w:pPr>
      <w:r>
        <w:t xml:space="preserve">The Professor has also been active in organizing national conferences in Dhaka, inviting distinguished speakers and fostering academic dialogue. Their leadership style is described by colleagues as collaborative and inclusive, encouraging junior faculty members to take on leadership roles. This mentorship is essential for the sustainable growth of the academic department.</w:t>
      </w:r>
    </w:p>
    <w:bookmarkEnd w:id="24"/>
    <w:bookmarkStart w:id="25" w:name="areas-for-improvement"/>
    <w:p>
      <w:pPr>
        <w:pStyle w:val="Heading2"/>
      </w:pPr>
      <w:r>
        <w:t xml:space="preserve">5. Areas for Improvement</w:t>
      </w:r>
    </w:p>
    <w:p>
      <w:pPr>
        <w:pStyle w:val="FirstParagraph"/>
      </w:pPr>
      <w:r>
        <w:t xml:space="preserve">While the overall performance is exemplary, the review panel has identified a few areas for development. First, the Professor is encouraged to increase the number of co-authored papers with junior faculty members to further strengthen the department’s research culture. Second, while digital resources are used, there is an opportunity to further expand the use of Learning Management Systems (LMS) to facilitate remote learning, a necessity in the modern educational landscape of Dhaka. Finally, the Professor should aim to submit proposals for more international collaborative grants to broaden the university’s global footprint.</w:t>
      </w:r>
    </w:p>
    <w:bookmarkEnd w:id="25"/>
    <w:bookmarkStart w:id="26" w:name="conclusion-and-recommendation"/>
    <w:p>
      <w:pPr>
        <w:pStyle w:val="Heading2"/>
      </w:pPr>
      <w:r>
        <w:t xml:space="preserve">6. Conclusion and Recommendation</w:t>
      </w:r>
    </w:p>
    <w:p>
      <w:pPr>
        <w:pStyle w:val="FirstParagraph"/>
      </w:pPr>
      <w:r>
        <w:t xml:space="preserve">In conclusion, the Peer Review Report confirms that the Professor has performed at a level that exceeds the expectations of their designation. Their contributions to teaching, research, and service have significantly benefited the institution and the broader academic community in Bangladesh Dhaka. The Professor embodies the values of integrity, diligence, and intellectual curiosity required of a senior academic leader.</w:t>
      </w:r>
    </w:p>
    <w:p>
      <w:pPr>
        <w:pStyle w:val="BodyText"/>
      </w:pPr>
      <w:r>
        <w:t xml:space="preserve">Based on this comprehensive evaluation, the review panel unanimously recommends the continuation of the Professor’s appointment and suggests their eligibility for consideration for senior leadership roles within the university administration. We look forward to their continued contributions in the coming academic year.</w:t>
      </w:r>
    </w:p>
    <w:bookmarkEnd w:id="26"/>
    <w:p>
      <w:pPr>
        <w:pStyle w:val="BodyText"/>
      </w:pPr>
      <w:r>
        <w:br/>
      </w:r>
      <w:r>
        <w:br/>
      </w:r>
      <w:r>
        <w:t xml:space="preserve">Dr. [Reviewer Name]</w:t>
      </w:r>
      <w:r>
        <w:br/>
      </w:r>
      <w:r>
        <w:t xml:space="preserve">Chair, Review Committee</w:t>
      </w:r>
    </w:p>
    <w:p>
      <w:pPr>
        <w:pStyle w:val="BodyText"/>
      </w:pPr>
      <w:r>
        <w:br/>
      </w:r>
      <w:r>
        <w:br/>
      </w:r>
      <w:r>
        <w:t xml:space="preserve">Prof. [Reviewer Name]</w:t>
      </w:r>
      <w:r>
        <w:br/>
      </w:r>
      <w:r>
        <w:t xml:space="preserve">Dean, Faculty of Science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2026-10-10T09:23:19Z</dcterms:created>
  <dcterms:modified xsi:type="dcterms:W3CDTF">2026-10-10T09:23:19Z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