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Canada</w:t>
      </w:r>
      <w:r>
        <w:t xml:space="preserve"> </w:t>
      </w:r>
      <w:r>
        <w:t xml:space="preserve">Montreal</w:t>
      </w:r>
    </w:p>
    <w:bookmarkStart w:id="26" w:name="peer-review-report"/>
    <w:p>
      <w:pPr>
        <w:pStyle w:val="Heading1"/>
      </w:pPr>
      <w:r>
        <w:t xml:space="preserve">Peer Review Report</w:t>
      </w:r>
    </w:p>
    <w:p>
      <w:pPr>
        <w:pStyle w:val="FirstParagraph"/>
      </w:pPr>
      <w:r>
        <w:rPr>
          <w:bCs/>
          <w:b/>
        </w:rPr>
        <w:t xml:space="preserve">Institution:</w:t>
      </w:r>
      <w:r>
        <w:t xml:space="preserve"> </w:t>
      </w:r>
      <w:r>
        <w:t xml:space="preserve">University of Montreal / McGill University / Concordia University</w:t>
      </w:r>
      <w:r>
        <w:br/>
      </w:r>
      <w:r>
        <w:rPr>
          <w:bCs/>
          <w:b/>
        </w:rPr>
        <w:t xml:space="preserve">Location:</w:t>
      </w:r>
      <w:r>
        <w:t xml:space="preserve"> </w:t>
      </w:r>
      <w:r>
        <w:t xml:space="preserve">Canada Montreal</w:t>
      </w:r>
      <w:r>
        <w:br/>
      </w:r>
      <w:r>
        <w:rPr>
          <w:bCs/>
          <w:b/>
        </w:rPr>
        <w:t xml:space="preserve">Date:</w:t>
      </w:r>
      <w:r>
        <w:t xml:space="preserve"> </w:t>
      </w:r>
      <w:r>
        <w:t xml:space="preserve">October 24, 2023</w:t>
      </w:r>
    </w:p>
    <w:p>
      <w:pPr>
        <w:pStyle w:val="BodyText"/>
      </w:pPr>
      <w:r>
        <w:rPr>
          <w:bCs/>
          <w:b/>
        </w:rPr>
        <w:t xml:space="preserve">Subject:</w:t>
      </w:r>
      <w:r>
        <w:t xml:space="preserve"> </w:t>
      </w:r>
      <w:r>
        <w:t xml:space="preserve">Annual Faculty Evaluation</w:t>
      </w:r>
      <w:r>
        <w:br/>
      </w:r>
      <w:r>
        <w:rPr>
          <w:bCs/>
          <w:b/>
        </w:rPr>
        <w:t xml:space="preserve">Review Type:</w:t>
      </w:r>
      <w:r>
        <w:t xml:space="preserve"> </w:t>
      </w:r>
      <w:r>
        <w:t xml:space="preserve">Comprehensive Peer Assessment</w:t>
      </w:r>
    </w:p>
    <w:bookmarkStart w:id="20" w:name="introduction-and-context"/>
    <w:p>
      <w:pPr>
        <w:pStyle w:val="Heading2"/>
      </w:pPr>
      <w:r>
        <w:t xml:space="preserve">1. Introduction and Context</w:t>
      </w:r>
    </w:p>
    <w:p>
      <w:pPr>
        <w:pStyle w:val="FirstParagraph"/>
      </w:pPr>
      <w:r>
        <w:t xml:space="preserve">This Peer Review Report serves as a formal evaluation of the teaching, research, and service contributions of the Professor under review. This assessment is conducted in strict adherence to the academic standards and regulatory frameworks established by higher education institutions in Canada Montreal. The review process is designed to ensure academic excellence, foster professional development, and maintain the high reputation of our faculty within the international academic community.</w:t>
      </w:r>
    </w:p>
    <w:p>
      <w:pPr>
        <w:pStyle w:val="BodyText"/>
      </w:pPr>
      <w:r>
        <w:t xml:space="preserve">The evaluation period covers the academic year 2022-2023. The review was conducted by a committee of senior faculty members who have observed the Professor’s classes, analyzed their research output, and assessed their engagement with the local Montreal academic ecosystem. The goal is to provide a balanced, evidence-based critique that highlights strengths while identifying areas for growth.</w:t>
      </w:r>
    </w:p>
    <w:bookmarkEnd w:id="20"/>
    <w:bookmarkStart w:id="21" w:name="teaching-effectiveness-and-pedagogy"/>
    <w:p>
      <w:pPr>
        <w:pStyle w:val="Heading2"/>
      </w:pPr>
      <w:r>
        <w:t xml:space="preserve">2. Teaching Effectiveness and Pedagogy</w:t>
      </w:r>
    </w:p>
    <w:p>
      <w:pPr>
        <w:pStyle w:val="FirstParagraph"/>
      </w:pPr>
      <w:r>
        <w:t xml:space="preserve">The Professor demonstrates a high level of pedagogical competence, aligning with the rigorous expectations of Canadian universities. Their teaching methodology is student-centered, encouraging critical thinking and active participation. In the context of Canada Montreal, where bilingualism and multiculturalism are central to the student body, the Professor has shown exceptional adaptability.</w:t>
      </w:r>
    </w:p>
    <w:p>
      <w:pPr>
        <w:numPr>
          <w:ilvl w:val="0"/>
          <w:numId w:val="1001"/>
        </w:numPr>
        <w:pStyle w:val="Compact"/>
      </w:pPr>
      <w:r>
        <w:rPr>
          <w:bCs/>
          <w:b/>
        </w:rPr>
        <w:t xml:space="preserve">Course Design:</w:t>
      </w:r>
      <w:r>
        <w:t xml:space="preserve"> </w:t>
      </w:r>
      <w:r>
        <w:t xml:space="preserve">Syllabi are well-structured, with clear learning outcomes that meet the accreditation standards of Quebec’s Ministry of Higher Education. The integration of local case studies relevant to the Montreal market adds significant value to the curriculum.</w:t>
      </w:r>
    </w:p>
    <w:p>
      <w:pPr>
        <w:numPr>
          <w:ilvl w:val="0"/>
          <w:numId w:val="1001"/>
        </w:numPr>
        <w:pStyle w:val="Compact"/>
      </w:pPr>
      <w:r>
        <w:rPr>
          <w:bCs/>
          <w:b/>
        </w:rPr>
        <w:t xml:space="preserve">Classroom Delivery:</w:t>
      </w:r>
      <w:r>
        <w:t xml:space="preserve"> </w:t>
      </w:r>
      <w:r>
        <w:t xml:space="preserve">Observations indicate that the Professor maintains an engaging and inclusive classroom environment. They effectively utilize technology and diverse teaching aids to accommodate different learning styles.</w:t>
      </w:r>
    </w:p>
    <w:p>
      <w:pPr>
        <w:numPr>
          <w:ilvl w:val="0"/>
          <w:numId w:val="1001"/>
        </w:numPr>
        <w:pStyle w:val="Compact"/>
      </w:pPr>
      <w:r>
        <w:rPr>
          <w:bCs/>
          <w:b/>
        </w:rPr>
        <w:t xml:space="preserve">Student Feedback:</w:t>
      </w:r>
      <w:r>
        <w:t xml:space="preserve"> </w:t>
      </w:r>
      <w:r>
        <w:t xml:space="preserve">Student evaluations reflect high satisfaction rates. Students particularly appreciate the Professor’s accessibility and willingness to provide constructive feedback, which is crucial for student success in a competitive academic environment.</w:t>
      </w:r>
    </w:p>
    <w:bookmarkEnd w:id="21"/>
    <w:bookmarkStart w:id="22" w:name="research-and-scholarly-activity"/>
    <w:p>
      <w:pPr>
        <w:pStyle w:val="Heading2"/>
      </w:pPr>
      <w:r>
        <w:t xml:space="preserve">3. Research and Scholarly Activity</w:t>
      </w:r>
    </w:p>
    <w:p>
      <w:pPr>
        <w:pStyle w:val="FirstParagraph"/>
      </w:pPr>
      <w:r>
        <w:t xml:space="preserve">Research productivity is a cornerstone of tenure and promotion in Canada Montreal. The Professor has maintained a robust research agenda, contributing significantly to their field. Their work is published in reputable, peer-reviewed journals, demonstrating a commitment to advancing knowledge.</w:t>
      </w:r>
    </w:p>
    <w:p>
      <w:pPr>
        <w:numPr>
          <w:ilvl w:val="0"/>
          <w:numId w:val="1002"/>
        </w:numPr>
        <w:pStyle w:val="Compact"/>
      </w:pPr>
      <w:r>
        <w:rPr>
          <w:bCs/>
          <w:b/>
        </w:rPr>
        <w:t xml:space="preserve">Publications:</w:t>
      </w:r>
      <w:r>
        <w:t xml:space="preserve"> </w:t>
      </w:r>
      <w:r>
        <w:t xml:space="preserve">The Professor has authored several high-impact papers during the review period. Their research topics are timely and relevant, often addressing challenges pertinent to the Canadian context.</w:t>
      </w:r>
    </w:p>
    <w:p>
      <w:pPr>
        <w:numPr>
          <w:ilvl w:val="0"/>
          <w:numId w:val="1002"/>
        </w:numPr>
        <w:pStyle w:val="Compact"/>
      </w:pPr>
      <w:r>
        <w:rPr>
          <w:bCs/>
          <w:b/>
        </w:rPr>
        <w:t xml:space="preserve">Grant Acquisition:</w:t>
      </w:r>
      <w:r>
        <w:t xml:space="preserve"> </w:t>
      </w:r>
      <w:r>
        <w:t xml:space="preserve">The Professor has successfully secured funding from major Canadian granting agencies, such as the Social Sciences and Humanities Research Council (SSHRC) or the Natural Sciences and Engineering Research Council of Canada (NSERC). This ability to attract external funding is vital for the financial health and research capacity of the department.</w:t>
      </w:r>
    </w:p>
    <w:p>
      <w:pPr>
        <w:numPr>
          <w:ilvl w:val="0"/>
          <w:numId w:val="1002"/>
        </w:numPr>
        <w:pStyle w:val="Compact"/>
      </w:pPr>
      <w:r>
        <w:rPr>
          <w:bCs/>
          <w:b/>
        </w:rPr>
        <w:t xml:space="preserve">Collaboration:</w:t>
      </w:r>
      <w:r>
        <w:t xml:space="preserve"> </w:t>
      </w:r>
      <w:r>
        <w:t xml:space="preserve">There is evidence of strong collaborative efforts with other researchers within the Montreal region, fostering a network of academic exchange that benefits the institution.</w:t>
      </w:r>
    </w:p>
    <w:bookmarkEnd w:id="22"/>
    <w:bookmarkStart w:id="23" w:name="service-and-community-engagement"/>
    <w:p>
      <w:pPr>
        <w:pStyle w:val="Heading2"/>
      </w:pPr>
      <w:r>
        <w:t xml:space="preserve">4. Service and Community Engagement</w:t>
      </w:r>
    </w:p>
    <w:p>
      <w:pPr>
        <w:pStyle w:val="FirstParagraph"/>
      </w:pPr>
      <w:r>
        <w:t xml:space="preserve">Service to the university and the broader community is a critical component of the Professor’s role. In Canada Montreal, this often involves engagement with both the institutional governance and the vibrant local cultural and professional landscape.</w:t>
      </w:r>
    </w:p>
    <w:p>
      <w:pPr>
        <w:numPr>
          <w:ilvl w:val="0"/>
          <w:numId w:val="1003"/>
        </w:numPr>
        <w:pStyle w:val="Compact"/>
      </w:pPr>
      <w:r>
        <w:rPr>
          <w:bCs/>
          <w:b/>
        </w:rPr>
        <w:t xml:space="preserve">Institutional Service:</w:t>
      </w:r>
      <w:r>
        <w:t xml:space="preserve"> </w:t>
      </w:r>
      <w:r>
        <w:t xml:space="preserve">The Professor actively participates in departmental committees, contributing to curriculum development and strategic planning. Their leadership in these areas has been noted as constructive and collaborative.</w:t>
      </w:r>
    </w:p>
    <w:p>
      <w:pPr>
        <w:numPr>
          <w:ilvl w:val="0"/>
          <w:numId w:val="1003"/>
        </w:numPr>
        <w:pStyle w:val="Compact"/>
      </w:pPr>
      <w:r>
        <w:rPr>
          <w:bCs/>
          <w:b/>
        </w:rPr>
        <w:t xml:space="preserve">Professional Service:</w:t>
      </w:r>
      <w:r>
        <w:t xml:space="preserve"> </w:t>
      </w:r>
      <w:r>
        <w:t xml:space="preserve">They serve as a reviewer for academic journals and present at national and international conferences, enhancing the visibility of the university.</w:t>
      </w:r>
    </w:p>
    <w:p>
      <w:pPr>
        <w:numPr>
          <w:ilvl w:val="0"/>
          <w:numId w:val="1003"/>
        </w:numPr>
        <w:pStyle w:val="Compact"/>
      </w:pPr>
      <w:r>
        <w:rPr>
          <w:bCs/>
          <w:b/>
        </w:rPr>
        <w:t xml:space="preserve">Community Outreach:</w:t>
      </w:r>
      <w:r>
        <w:t xml:space="preserve"> </w:t>
      </w:r>
      <w:r>
        <w:t xml:space="preserve">The Professor engages with the Montreal community through public lectures, workshops, and partnerships with local organizations. This engagement helps bridge the gap between academia and society, a key priority for universities in the region.</w:t>
      </w:r>
    </w:p>
    <w:bookmarkEnd w:id="23"/>
    <w:bookmarkStart w:id="24" w:name="areas-for-improvement"/>
    <w:p>
      <w:pPr>
        <w:pStyle w:val="Heading2"/>
      </w:pPr>
      <w:r>
        <w:t xml:space="preserve">5. Areas for Improvement</w:t>
      </w:r>
    </w:p>
    <w:p>
      <w:pPr>
        <w:pStyle w:val="FirstParagraph"/>
      </w:pPr>
      <w:r>
        <w:t xml:space="preserve">While the Professor’s performance is commendable, there are areas where further development is recommended:</w:t>
      </w:r>
    </w:p>
    <w:p>
      <w:pPr>
        <w:numPr>
          <w:ilvl w:val="0"/>
          <w:numId w:val="1004"/>
        </w:numPr>
        <w:pStyle w:val="Compact"/>
      </w:pPr>
      <w:r>
        <w:rPr>
          <w:bCs/>
          <w:b/>
        </w:rPr>
        <w:t xml:space="preserve">Interdisciplinary Collaboration:</w:t>
      </w:r>
      <w:r>
        <w:t xml:space="preserve"> </w:t>
      </w:r>
      <w:r>
        <w:t xml:space="preserve">Encouraging more cross-departmental projects could enhance the innovation and impact of their research.</w:t>
      </w:r>
    </w:p>
    <w:p>
      <w:pPr>
        <w:numPr>
          <w:ilvl w:val="0"/>
          <w:numId w:val="1004"/>
        </w:numPr>
        <w:pStyle w:val="Compact"/>
      </w:pPr>
      <w:r>
        <w:rPr>
          <w:bCs/>
          <w:b/>
        </w:rPr>
        <w:t xml:space="preserve">Mentorship:</w:t>
      </w:r>
      <w:r>
        <w:t xml:space="preserve"> </w:t>
      </w:r>
      <w:r>
        <w:t xml:space="preserve">Increasing formal mentorship of junior faculty and graduate students would strengthen the department’s long-term capacity.</w:t>
      </w:r>
    </w:p>
    <w:p>
      <w:pPr>
        <w:numPr>
          <w:ilvl w:val="0"/>
          <w:numId w:val="1004"/>
        </w:numPr>
        <w:pStyle w:val="Compact"/>
      </w:pPr>
      <w:r>
        <w:rPr>
          <w:bCs/>
          <w:b/>
        </w:rPr>
        <w:t xml:space="preserve">Language Integration:</w:t>
      </w:r>
      <w:r>
        <w:t xml:space="preserve"> </w:t>
      </w:r>
      <w:r>
        <w:t xml:space="preserve">Further integration of French-language resources in teaching materials could better serve the diverse linguistic needs of students in Canada Montreal.</w:t>
      </w:r>
    </w:p>
    <w:bookmarkEnd w:id="24"/>
    <w:bookmarkStart w:id="25" w:name="conclusion-and-recommendation"/>
    <w:p>
      <w:pPr>
        <w:pStyle w:val="Heading2"/>
      </w:pPr>
      <w:r>
        <w:t xml:space="preserve">6. Conclusion and Recommendation</w:t>
      </w:r>
    </w:p>
    <w:p>
      <w:pPr>
        <w:pStyle w:val="FirstParagraph"/>
      </w:pPr>
      <w:r>
        <w:t xml:space="preserve">Based on the comprehensive evaluation of teaching, research, and service, the review committee concludes that the Professor is performing at a level that exceeds the expectations for their rank. Their contributions are significant and align well with the strategic goals of the institution in Canada Montreal.</w:t>
      </w:r>
    </w:p>
    <w:p>
      <w:pPr>
        <w:pStyle w:val="BodyText"/>
      </w:pPr>
      <w:r>
        <w:t xml:space="preserve">It is the recommendation of this Peer Review Report that the Professor be recognized for their outstanding performance. We encourage them to continue their excellent work while addressing the suggested areas for improvement. This evaluation supports their continued tenure and potential for future leadership roles within the university.</w:t>
      </w:r>
    </w:p>
    <w:bookmarkEnd w:id="25"/>
    <w:p>
      <w:pPr>
        <w:pStyle w:val="BodyText"/>
      </w:pPr>
      <w:r>
        <w:rPr>
          <w:bCs/>
          <w:b/>
        </w:rPr>
        <w:t xml:space="preserve">Dr. Jane Doe</w:t>
      </w:r>
      <w:r>
        <w:br/>
      </w:r>
      <w:r>
        <w:t xml:space="preserve">Chair, Peer Review Committee</w:t>
      </w:r>
    </w:p>
    <w:p>
      <w:pPr>
        <w:pStyle w:val="BodyText"/>
      </w:pPr>
      <w:r>
        <w:rPr>
          <w:bCs/>
          <w:b/>
        </w:rPr>
        <w:t xml:space="preserve">Dr. John Smith</w:t>
      </w:r>
      <w:r>
        <w:br/>
      </w:r>
      <w:r>
        <w:t xml:space="preserve">Department Head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Canada Montreal</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