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0" w:name="confidential-peer-review-report"/>
    <w:p>
      <w:pPr>
        <w:pStyle w:val="Heading1"/>
      </w:pPr>
      <w:r>
        <w:t xml:space="preserve">Confidential Peer Review Report</w:t>
      </w:r>
    </w:p>
    <w:p>
      <w:pPr>
        <w:pStyle w:val="FirstParagraph"/>
      </w:pPr>
      <w:r>
        <w:t xml:space="preserve">Academic Faculty Evaluation &amp; Performance Assessment</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India Mumbai</w:t>
      </w:r>
    </w:p>
    <w:p>
      <w:pPr>
        <w:pStyle w:val="BodyText"/>
      </w:pPr>
      <w:r>
        <w:rPr>
          <w:bCs/>
          <w:b/>
        </w:rPr>
        <w:t xml:space="preserve">Review Cycle:</w:t>
      </w:r>
      <w:r>
        <w:t xml:space="preserve"> </w:t>
      </w:r>
      <w:r>
        <w:t xml:space="preserve">Annual Academic Year 2023-2024</w:t>
      </w:r>
    </w:p>
    <w:p>
      <w:pPr>
        <w:pStyle w:val="BodyText"/>
      </w:pPr>
      <w:r>
        <w:rPr>
          <w:bCs/>
          <w:b/>
        </w:rPr>
        <w:t xml:space="preserve">Subject:</w:t>
      </w:r>
      <w:r>
        <w:t xml:space="preserve"> </w:t>
      </w:r>
      <w:r>
        <w:t xml:space="preserve">Professor [Name Redacted]</w:t>
      </w:r>
    </w:p>
    <w:p>
      <w:pPr>
        <w:pStyle w:val="BodyText"/>
      </w:pPr>
      <w:r>
        <w:rPr>
          <w:bCs/>
          <w:b/>
        </w:rPr>
        <w:t xml:space="preserve">Department:</w:t>
      </w:r>
      <w:r>
        <w:t xml:space="preserve"> </w:t>
      </w:r>
      <w:r>
        <w:t xml:space="preserve">Department of Computer Science &amp; Engineering</w:t>
      </w:r>
    </w:p>
    <w:p>
      <w:pPr>
        <w:pStyle w:val="BodyText"/>
      </w:pPr>
      <w:r>
        <w:rPr>
          <w:bCs/>
          <w:b/>
        </w:rPr>
        <w:t xml:space="preserve">Reviewer:</w:t>
      </w:r>
      <w:r>
        <w:t xml:space="preserve"> </w:t>
      </w:r>
      <w:r>
        <w:t xml:space="preserve">Senior Faculty Peer Committee</w:t>
      </w:r>
    </w:p>
    <w:p>
      <w:pPr>
        <w:pStyle w:val="BodyText"/>
      </w:pPr>
      <w:r>
        <w:rPr>
          <w:bCs/>
          <w:b/>
        </w:rPr>
        <w:t xml:space="preserve">Rating Scale:</w:t>
      </w:r>
      <w:r>
        <w:t xml:space="preserve"> </w:t>
      </w:r>
      <w:r>
        <w:t xml:space="preserve">5 (Exceptional) | 4 (Very Good) | 3 (Satisfactory) | 2 (Needs Improvement) | 1 (Unsatisfactory)</w:t>
      </w:r>
    </w:p>
    <w:bookmarkStart w:id="21" w:name="executive-summary"/>
    <w:p>
      <w:pPr>
        <w:pStyle w:val="Heading2"/>
      </w:pPr>
      <w:r>
        <w:t xml:space="preserve">1. Executive Summary</w:t>
      </w:r>
    </w:p>
    <w:p>
      <w:pPr>
        <w:pStyle w:val="FirstParagraph"/>
      </w:pPr>
      <w:r>
        <w:t xml:space="preserve">This document serves as a formal Peer Review Report regarding the academic and professional performance of the Professor under evaluation. This assessment has been conducted in strict adherence to the academic standards and regulatory guidelines prevalent in higher education institutions across India Mumbai. The review process involved classroom observations, analysis of research output, student feedback aggregation, and a comprehensive evaluation of administrative contributions.</w:t>
      </w:r>
    </w:p>
    <w:p>
      <w:pPr>
        <w:pStyle w:val="BodyText"/>
      </w:pPr>
      <w:r>
        <w:t xml:space="preserve">The primary objective of this report is to provide a balanced, evidence-based critique of the Professor’s current standing within the institution. The evaluation highlights significant strengths in pedagogical delivery and research innovation, while also identifying specific areas where strategic improvements can further align the Professor’s output with the institution’s vision for excellence in the Mumbai metropolitan academic landscape.</w:t>
      </w:r>
    </w:p>
    <w:bookmarkEnd w:id="21"/>
    <w:bookmarkStart w:id="22" w:name="Xe18e18029496f5790ed3aa076ec5ed8d4854182"/>
    <w:p>
      <w:pPr>
        <w:pStyle w:val="Heading2"/>
      </w:pPr>
      <w:r>
        <w:t xml:space="preserve">2. Teaching Effectiveness and Pedagogical Approach</w:t>
      </w:r>
    </w:p>
    <w:p>
      <w:pPr>
        <w:pStyle w:val="FirstParagraph"/>
      </w:pPr>
      <w:r>
        <w:t xml:space="preserve">The Professor demonstrates a robust command of the subject matter, delivering lectures that are both intellectually stimulating and technically rigorous. In the context of the competitive academic environment in India Mumbai, where student expectations are high, the Professor has successfully maintained an engaging classroom atmosphere.</w:t>
      </w:r>
    </w:p>
    <w:p>
      <w:pPr>
        <w:pStyle w:val="BodyText"/>
      </w:pPr>
      <w:r>
        <w:rPr>
          <w:bCs/>
          <w:b/>
        </w:rPr>
        <w:t xml:space="preserve">Strengths:</w:t>
      </w:r>
    </w:p>
    <w:p>
      <w:pPr>
        <w:numPr>
          <w:ilvl w:val="0"/>
          <w:numId w:val="1001"/>
        </w:numPr>
        <w:pStyle w:val="Compact"/>
      </w:pPr>
      <w:r>
        <w:rPr>
          <w:bCs/>
          <w:b/>
        </w:rPr>
        <w:t xml:space="preserve">Clarity of Instruction:</w:t>
      </w:r>
      <w:r>
        <w:t xml:space="preserve"> </w:t>
      </w:r>
      <w:r>
        <w:t xml:space="preserve">Complex theoretical concepts are broken down into digestible modules, ensuring high comprehension rates among students.</w:t>
      </w:r>
    </w:p>
    <w:p>
      <w:pPr>
        <w:numPr>
          <w:ilvl w:val="0"/>
          <w:numId w:val="1001"/>
        </w:numPr>
        <w:pStyle w:val="Compact"/>
      </w:pPr>
      <w:r>
        <w:rPr>
          <w:bCs/>
          <w:b/>
        </w:rPr>
        <w:t xml:space="preserve">Student Engagement:</w:t>
      </w:r>
      <w:r>
        <w:t xml:space="preserve"> </w:t>
      </w:r>
      <w:r>
        <w:t xml:space="preserve">The Professor actively encourages critical thinking and debate, fostering an interactive learning environment rather than a passive lecture format.</w:t>
      </w:r>
    </w:p>
    <w:p>
      <w:pPr>
        <w:numPr>
          <w:ilvl w:val="0"/>
          <w:numId w:val="1001"/>
        </w:numPr>
        <w:pStyle w:val="Compact"/>
      </w:pPr>
      <w:r>
        <w:rPr>
          <w:bCs/>
          <w:b/>
        </w:rPr>
        <w:t xml:space="preserve">Resource Utilization:</w:t>
      </w:r>
      <w:r>
        <w:t xml:space="preserve"> </w:t>
      </w:r>
      <w:r>
        <w:t xml:space="preserve">Effective use of digital tools and modern educational technology, which is crucial for maintaining relevance in the tech-forward ecosystem of Mumbai.</w:t>
      </w:r>
    </w:p>
    <w:p>
      <w:pPr>
        <w:pStyle w:val="FirstParagraph"/>
      </w:pPr>
      <w:r>
        <w:rPr>
          <w:bCs/>
          <w:b/>
        </w:rPr>
        <w:t xml:space="preserve">Areas for Improvement:</w:t>
      </w:r>
    </w:p>
    <w:p>
      <w:pPr>
        <w:numPr>
          <w:ilvl w:val="0"/>
          <w:numId w:val="1002"/>
        </w:numPr>
        <w:pStyle w:val="Compact"/>
      </w:pPr>
      <w:r>
        <w:rPr>
          <w:bCs/>
          <w:b/>
        </w:rPr>
        <w:t xml:space="preserve">Feedback Timeliness:</w:t>
      </w:r>
      <w:r>
        <w:t xml:space="preserve"> </w:t>
      </w:r>
      <w:r>
        <w:t xml:space="preserve">While the quality of feedback on assignments is high, the turnaround time occasionally exceeds the expected 48-hour window. Streamlining this process would significantly enhance student satisfaction.</w:t>
      </w:r>
    </w:p>
    <w:p>
      <w:pPr>
        <w:numPr>
          <w:ilvl w:val="0"/>
          <w:numId w:val="1002"/>
        </w:numPr>
        <w:pStyle w:val="Compact"/>
      </w:pPr>
      <w:r>
        <w:rPr>
          <w:bCs/>
          <w:b/>
        </w:rPr>
        <w:t xml:space="preserve">Inclusivity:</w:t>
      </w:r>
      <w:r>
        <w:t xml:space="preserve"> </w:t>
      </w:r>
      <w:r>
        <w:t xml:space="preserve">Further efforts should be made to cater to diverse learning styles, particularly for students who may require additional support in bridging foundational gaps.</w:t>
      </w:r>
    </w:p>
    <w:bookmarkEnd w:id="22"/>
    <w:bookmarkStart w:id="23" w:name="X9875a58ab5f99997207b79ca38a07ac6de45c37"/>
    <w:p>
      <w:pPr>
        <w:pStyle w:val="Heading2"/>
      </w:pPr>
      <w:r>
        <w:t xml:space="preserve">3. Research Output and Scholarly Contribution</w:t>
      </w:r>
    </w:p>
    <w:p>
      <w:pPr>
        <w:pStyle w:val="FirstParagraph"/>
      </w:pPr>
      <w:r>
        <w:t xml:space="preserve">Research productivity is a cornerstone of academic tenure and promotion. The Professor has maintained a consistent trajectory of scholarly output, contributing meaningfully to the field. The review committee notes that the Professor’s work aligns well with the national research priorities outlined by the University Grants Commission (UGC) and other relevant bodies in India.</w:t>
      </w:r>
    </w:p>
    <w:p>
      <w:pPr>
        <w:pStyle w:val="BodyText"/>
      </w:pPr>
      <w:r>
        <w:rPr>
          <w:bCs/>
          <w:b/>
        </w:rPr>
        <w:t xml:space="preserve">Key Achievements:</w:t>
      </w:r>
    </w:p>
    <w:p>
      <w:pPr>
        <w:numPr>
          <w:ilvl w:val="0"/>
          <w:numId w:val="1003"/>
        </w:numPr>
        <w:pStyle w:val="Compact"/>
      </w:pPr>
      <w:r>
        <w:rPr>
          <w:bCs/>
          <w:b/>
        </w:rPr>
        <w:t xml:space="preserve">Publications:</w:t>
      </w:r>
      <w:r>
        <w:t xml:space="preserve"> </w:t>
      </w:r>
      <w:r>
        <w:t xml:space="preserve">The Professor has published several high-impact papers in peer-reviewed international journals during the review period.</w:t>
      </w:r>
    </w:p>
    <w:p>
      <w:pPr>
        <w:numPr>
          <w:ilvl w:val="0"/>
          <w:numId w:val="1003"/>
        </w:numPr>
        <w:pStyle w:val="Compact"/>
      </w:pPr>
      <w:r>
        <w:rPr>
          <w:bCs/>
          <w:b/>
        </w:rPr>
        <w:t xml:space="preserve">Conferences:</w:t>
      </w:r>
      <w:r>
        <w:t xml:space="preserve"> </w:t>
      </w:r>
      <w:r>
        <w:t xml:space="preserve">Active participation in national and international conferences, including prominent events held in India Mumbai, showcasing the institution’s research capabilities.</w:t>
      </w:r>
    </w:p>
    <w:p>
      <w:pPr>
        <w:numPr>
          <w:ilvl w:val="0"/>
          <w:numId w:val="1003"/>
        </w:numPr>
        <w:pStyle w:val="Compact"/>
      </w:pPr>
      <w:r>
        <w:rPr>
          <w:bCs/>
          <w:b/>
        </w:rPr>
        <w:t xml:space="preserve">Grant Acquisition:</w:t>
      </w:r>
      <w:r>
        <w:t xml:space="preserve"> </w:t>
      </w:r>
      <w:r>
        <w:t xml:space="preserve">Successful application for external research funding, demonstrating the ability to secure resources for advanced academic projects.</w:t>
      </w:r>
    </w:p>
    <w:p>
      <w:pPr>
        <w:pStyle w:val="FirstParagraph"/>
      </w:pPr>
      <w:r>
        <w:rPr>
          <w:bCs/>
          <w:b/>
        </w:rPr>
        <w:t xml:space="preserve">Recommendations:</w:t>
      </w:r>
    </w:p>
    <w:p>
      <w:pPr>
        <w:numPr>
          <w:ilvl w:val="0"/>
          <w:numId w:val="1004"/>
        </w:numPr>
        <w:pStyle w:val="Compact"/>
      </w:pPr>
      <w:r>
        <w:rPr>
          <w:bCs/>
          <w:b/>
        </w:rPr>
        <w:t xml:space="preserve">Collaborative Research:</w:t>
      </w:r>
      <w:r>
        <w:t xml:space="preserve"> </w:t>
      </w:r>
      <w:r>
        <w:t xml:space="preserve">It is recommended that the Professor seeks more interdisciplinary collaborations, particularly with industry partners in the Mumbai financial and technology sectors, to enhance the practical applicability of research findings.</w:t>
      </w:r>
    </w:p>
    <w:p>
      <w:pPr>
        <w:numPr>
          <w:ilvl w:val="0"/>
          <w:numId w:val="1004"/>
        </w:numPr>
        <w:pStyle w:val="Compact"/>
      </w:pPr>
      <w:r>
        <w:rPr>
          <w:bCs/>
          <w:b/>
        </w:rPr>
        <w:t xml:space="preserve">Student Mentorship:</w:t>
      </w:r>
      <w:r>
        <w:t xml:space="preserve"> </w:t>
      </w:r>
      <w:r>
        <w:t xml:space="preserve">Increasing the involvement of postgraduate students in ongoing research projects would help cultivate the next generation of scholars.</w:t>
      </w:r>
    </w:p>
    <w:bookmarkEnd w:id="23"/>
    <w:bookmarkStart w:id="24" w:name="X86524429932bff7f38aaf1aab4cb817b72299f4"/>
    <w:p>
      <w:pPr>
        <w:pStyle w:val="Heading2"/>
      </w:pPr>
      <w:r>
        <w:t xml:space="preserve">4. Professional Conduct and Administrative Duties</w:t>
      </w:r>
    </w:p>
    <w:p>
      <w:pPr>
        <w:pStyle w:val="FirstParagraph"/>
      </w:pPr>
      <w:r>
        <w:t xml:space="preserve">The Professor exhibits a high degree of professional integrity and ethical conduct. Adherence to the code of ethics mandated by academic institutions in India Mumbai is evident in all professional interactions. The Professor is punctual, reliable, and maintains a respectful demeanor with colleagues, staff, and students.</w:t>
      </w:r>
    </w:p>
    <w:p>
      <w:pPr>
        <w:pStyle w:val="BodyText"/>
      </w:pPr>
      <w:r>
        <w:t xml:space="preserve">Regarding administrative responsibilities, the Professor has actively participated in departmental meetings and committee work. However, there is an opportunity to take on a more leadership-oriented role within the department’s strategic planning initiatives. Given the dynamic nature of the educational sector in Mumbai, proactive leadership is highly valued.</w:t>
      </w:r>
    </w:p>
    <w:bookmarkEnd w:id="24"/>
    <w:bookmarkStart w:id="25" w:name="Xa91642e8fcb35c02d0804330c9d18662bcd78c9"/>
    <w:p>
      <w:pPr>
        <w:pStyle w:val="Heading2"/>
      </w:pPr>
      <w:r>
        <w:t xml:space="preserve">5. Community Engagement and Industry Linkages</w:t>
      </w:r>
    </w:p>
    <w:p>
      <w:pPr>
        <w:pStyle w:val="FirstParagraph"/>
      </w:pPr>
      <w:r>
        <w:t xml:space="preserve">In the vibrant ecosystem of India Mumbai, the bridge between academia and industry is vital. The Professor has made commendable efforts to establish linkages with local industries, facilitating internships and guest lectures for students. This engagement not only enhances the employability of graduates but also raises the profile of the institution within the city.</w:t>
      </w:r>
    </w:p>
    <w:p>
      <w:pPr>
        <w:pStyle w:val="BodyText"/>
      </w:pPr>
      <w:r>
        <w:t xml:space="preserve">To further this success, the Professor is encouraged to initiate more structured industry-academia partnerships, such as joint research labs or sponsored projects, which are increasingly common among top-tier institutions in the region.</w:t>
      </w:r>
    </w:p>
    <w:bookmarkEnd w:id="25"/>
    <w:bookmarkStart w:id="26" w:name="overall-assessment-and-conclusion"/>
    <w:p>
      <w:pPr>
        <w:pStyle w:val="Heading2"/>
      </w:pPr>
      <w:r>
        <w:t xml:space="preserve">6. Overall Assessment and Conclusion</w:t>
      </w:r>
    </w:p>
    <w:p>
      <w:pPr>
        <w:pStyle w:val="FirstParagraph"/>
      </w:pPr>
      <w:r>
        <w:t xml:space="preserve">Based on the comprehensive evaluation of teaching, research, service, and professional conduct, the Peer Review Committee rates the Professor’s overall performance as</w:t>
      </w:r>
      <w:r>
        <w:t xml:space="preserve"> </w:t>
      </w:r>
      <w:r>
        <w:rPr>
          <w:bCs/>
          <w:b/>
        </w:rPr>
        <w:t xml:space="preserve">Very Good (4/5)</w:t>
      </w:r>
      <w:r>
        <w:t xml:space="preserve">. The Professor is a valuable asset to the institution, demonstrating a strong commitment to academic excellence and student development.</w:t>
      </w:r>
    </w:p>
    <w:p>
      <w:pPr>
        <w:pStyle w:val="BodyText"/>
      </w:pPr>
      <w:r>
        <w:t xml:space="preserve">The specific recommendations outlined in this report are intended to support the Professor’s continued growth and professional development. By addressing the areas for improvement, particularly in feedback timeliness and industry collaboration, the Professor is well-positioned to achieve exceptional status in the next review cycle.</w:t>
      </w:r>
    </w:p>
    <w:p>
      <w:pPr>
        <w:pStyle w:val="BodyText"/>
      </w:pPr>
      <w:r>
        <w:t xml:space="preserve">This report is confidential and is intended solely for the use of the Professor and the academic administration. It forms a critical part of the annual performance appraisal process and will be used to inform decisions regarding professional development, resource allocation, and future career progression within the institution.</w:t>
      </w:r>
    </w:p>
    <w:p>
      <w:pPr>
        <w:pStyle w:val="BodyText"/>
      </w:pPr>
      <w:r>
        <w:rPr>
          <w:bCs/>
          <w:b/>
        </w:rPr>
        <w:t xml:space="preserve">Head of Department</w:t>
      </w:r>
      <w:r>
        <w:br/>
      </w:r>
      <w:r>
        <w:t xml:space="preserve">Department of Computer Science &amp; Engineering</w:t>
      </w:r>
    </w:p>
    <w:p>
      <w:pPr>
        <w:pStyle w:val="BodyText"/>
      </w:pPr>
      <w:r>
        <w:rPr>
          <w:bCs/>
          <w:b/>
        </w:rPr>
        <w:t xml:space="preserve">Dean of Academics</w:t>
      </w:r>
      <w:r>
        <w:br/>
      </w:r>
      <w:r>
        <w:t xml:space="preserve">University Administration</w:t>
      </w:r>
    </w:p>
    <w:p>
      <w:pPr>
        <w:pStyle w:val="BodyText"/>
      </w:pPr>
      <w:r>
        <w:t xml:space="preserve">© 2023 Academic Peer Review Committee. All Rights Reserved. Document generated for internal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2026-10-10T08:41:17Z</dcterms:created>
  <dcterms:modified xsi:type="dcterms:W3CDTF">2026-10-10T08:41:17Z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