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peer-review-report"/>
    <w:p>
      <w:pPr>
        <w:pStyle w:val="Heading1"/>
      </w:pPr>
      <w:r>
        <w:t xml:space="preserve">Peer Review Report</w:t>
      </w:r>
    </w:p>
    <w:p>
      <w:pPr>
        <w:pStyle w:val="FirstParagraph"/>
      </w:pPr>
      <w:r>
        <w:t xml:space="preserve">Academic Evaluation of Faculty Performance</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Almaty, Kazakhstan</w:t>
      </w:r>
    </w:p>
    <w:p>
      <w:pPr>
        <w:pStyle w:val="BodyText"/>
      </w:pPr>
      <w:r>
        <w:rPr>
          <w:bCs/>
          <w:b/>
        </w:rPr>
        <w:t xml:space="preserve">Review Type:</w:t>
      </w:r>
      <w:r>
        <w:t xml:space="preserve"> </w:t>
      </w:r>
      <w:r>
        <w:t xml:space="preserve">Annual Faculty Assessment</w:t>
      </w:r>
      <w:r>
        <w:br/>
      </w:r>
      <w:r>
        <w:rPr>
          <w:bCs/>
          <w:b/>
        </w:rPr>
        <w:t xml:space="preserve">Department:</w:t>
      </w:r>
      <w:r>
        <w:t xml:space="preserve"> </w:t>
      </w:r>
      <w:r>
        <w:t xml:space="preserve">Faculty of Natural Sciences &amp; Engineering</w:t>
      </w:r>
    </w:p>
    <w:bookmarkEnd w:id="20"/>
    <w:p>
      <w:pPr>
        <w:pStyle w:val="BodyText"/>
      </w:pPr>
      <w:r>
        <w:rPr>
          <w:bCs/>
          <w:b/>
        </w:rPr>
        <w:t xml:space="preserve">Subject of Review:</w:t>
      </w:r>
      <w:r>
        <w:t xml:space="preserve"> </w:t>
      </w:r>
      <w:r>
        <w:t xml:space="preserve">Professor [Name Redacted for Confidentiality]</w:t>
      </w:r>
    </w:p>
    <w:p>
      <w:pPr>
        <w:pStyle w:val="BodyText"/>
      </w:pPr>
      <w:r>
        <w:rPr>
          <w:bCs/>
          <w:b/>
        </w:rPr>
        <w:t xml:space="preserve">Reviewer:</w:t>
      </w:r>
      <w:r>
        <w:t xml:space="preserve"> </w:t>
      </w:r>
      <w:r>
        <w:t xml:space="preserve">Senior Academic Committee Member</w:t>
      </w:r>
    </w:p>
    <w:p>
      <w:pPr>
        <w:pStyle w:val="BodyText"/>
      </w:pPr>
      <w:r>
        <w:rPr>
          <w:bCs/>
          <w:b/>
        </w:rPr>
        <w:t xml:space="preserve">Institution Context:</w:t>
      </w:r>
      <w:r>
        <w:t xml:space="preserve"> </w:t>
      </w:r>
      <w:r>
        <w:t xml:space="preserve">This Peer Review Report has been conducted in accordance with the academic standards and regulatory frameworks established by the Ministry of Science and Higher Education of the Republic of Kazakhstan. The evaluation focuses on the Professor's contributions within the dynamic academic environment of Almaty, a city recognized as the primary hub for scientific innovation and higher education in the region.</w:t>
      </w:r>
    </w:p>
    <w:bookmarkStart w:id="21" w:name="introduction-and-scope-of-evaluation"/>
    <w:p>
      <w:pPr>
        <w:pStyle w:val="Heading2"/>
      </w:pPr>
      <w:r>
        <w:t xml:space="preserve">1. Introduction and Scope of Evaluation</w:t>
      </w:r>
    </w:p>
    <w:p>
      <w:pPr>
        <w:pStyle w:val="FirstParagraph"/>
      </w:pPr>
      <w:r>
        <w:t xml:space="preserve">The purpose of this Peer Review Report is to provide a comprehensive, objective, and constructive assessment of the Professor’s professional activities over the past academic year. As a leading academic figure in Almaty, the Professor is expected to uphold the highest standards of pedagogical excellence, research integrity, and community engagement. This document serves as a formal record for tenure review, promotion considerations, and professional development planning.</w:t>
      </w:r>
    </w:p>
    <w:p>
      <w:pPr>
        <w:pStyle w:val="BodyText"/>
      </w:pPr>
      <w:r>
        <w:t xml:space="preserve">The review process involved a thorough analysis of course syllabi, student feedback surveys, peer observations of lectures, a review of published research outputs, and an assessment of administrative contributions. The evaluation criteria are aligned with the national strategic goals for higher education in Kazakhstan, emphasizing the development of a knowledge-based economy and the integration of global best practices into local curricula.</w:t>
      </w:r>
    </w:p>
    <w:bookmarkEnd w:id="21"/>
    <w:bookmarkStart w:id="22" w:name="teaching-and-pedagogical-effectiveness"/>
    <w:p>
      <w:pPr>
        <w:pStyle w:val="Heading2"/>
      </w:pPr>
      <w:r>
        <w:t xml:space="preserve">2. Teaching and Pedagogical Effectiveness</w:t>
      </w:r>
    </w:p>
    <w:p>
      <w:pPr>
        <w:pStyle w:val="FirstParagraph"/>
      </w:pPr>
      <w:r>
        <w:t xml:space="preserve">The Professor demonstrates a high level of competence and dedication in the classroom. During the observed lectures in Almaty, the Professor exhibited a mastery of the subject matter, delivering complex concepts with clarity and precision. The pedagogical approach is student-centered, encouraging critical thinking and active participation, which is essential for preparing students for the competitive job market in Kazakhstan and abroad.</w:t>
      </w:r>
    </w:p>
    <w:p>
      <w:pPr>
        <w:pStyle w:val="BodyText"/>
      </w:pPr>
      <w:r>
        <w:t xml:space="preserve">Key strengths identified include:</w:t>
      </w:r>
    </w:p>
    <w:p>
      <w:pPr>
        <w:numPr>
          <w:ilvl w:val="0"/>
          <w:numId w:val="1001"/>
        </w:numPr>
        <w:pStyle w:val="Compact"/>
      </w:pPr>
      <w:r>
        <w:rPr>
          <w:bCs/>
          <w:b/>
        </w:rPr>
        <w:t xml:space="preserve">Curriculum Design:</w:t>
      </w:r>
      <w:r>
        <w:t xml:space="preserve"> </w:t>
      </w:r>
      <w:r>
        <w:t xml:space="preserve">The Professor has successfully modernized course materials to reflect current industry standards and technological advancements. This is particularly relevant in Almaty, where the tech and engineering sectors are rapidly expanding.</w:t>
      </w:r>
    </w:p>
    <w:p>
      <w:pPr>
        <w:numPr>
          <w:ilvl w:val="0"/>
          <w:numId w:val="1001"/>
        </w:numPr>
        <w:pStyle w:val="Compact"/>
      </w:pPr>
      <w:r>
        <w:rPr>
          <w:bCs/>
          <w:b/>
        </w:rPr>
        <w:t xml:space="preserve">Student Engagement:</w:t>
      </w:r>
      <w:r>
        <w:t xml:space="preserve"> </w:t>
      </w:r>
      <w:r>
        <w:t xml:space="preserve">Feedback from students indicates that the Professor creates an inclusive and supportive learning environment. The use of interactive methods, such as case studies and group projects, has been highly effective.</w:t>
      </w:r>
    </w:p>
    <w:p>
      <w:pPr>
        <w:numPr>
          <w:ilvl w:val="0"/>
          <w:numId w:val="1001"/>
        </w:numPr>
        <w:pStyle w:val="Compact"/>
      </w:pPr>
      <w:r>
        <w:rPr>
          <w:bCs/>
          <w:b/>
        </w:rPr>
        <w:t xml:space="preserve">Mentorship:</w:t>
      </w:r>
      <w:r>
        <w:t xml:space="preserve"> </w:t>
      </w:r>
      <w:r>
        <w:t xml:space="preserve">The Professor is actively involved in guiding undergraduate and graduate students in their research projects, fostering the next generation of scholars in Kazakhstan.</w:t>
      </w:r>
    </w:p>
    <w:p>
      <w:pPr>
        <w:pStyle w:val="FirstParagraph"/>
      </w:pPr>
      <w:r>
        <w:t xml:space="preserve">However, there is room for improvement in the integration of digital learning tools. While the Professor utilizes standard presentation software, adopting more advanced Learning Management Systems (LMS) could enhance accessibility and student interaction, aligning with the digital transformation initiatives promoted by the Kazakhstani government.</w:t>
      </w:r>
    </w:p>
    <w:bookmarkEnd w:id="22"/>
    <w:bookmarkStart w:id="23" w:name="research-and-scholarly-contributions"/>
    <w:p>
      <w:pPr>
        <w:pStyle w:val="Heading2"/>
      </w:pPr>
      <w:r>
        <w:t xml:space="preserve">3. Research and Scholarly Contributions</w:t>
      </w:r>
    </w:p>
    <w:p>
      <w:pPr>
        <w:pStyle w:val="FirstParagraph"/>
      </w:pPr>
      <w:r>
        <w:t xml:space="preserve">Research productivity is a cornerstone of academic excellence, and the Professor has made significant contributions in this area. The review highlights a consistent output of high-quality publications in reputable international and national journals. The Professor’s research topics are not only academically rigorous but also socially relevant, addressing challenges pertinent to the region, such as sustainable development, resource management, and technological innovation.</w:t>
      </w:r>
    </w:p>
    <w:p>
      <w:pPr>
        <w:pStyle w:val="BodyText"/>
      </w:pPr>
      <w:r>
        <w:t xml:space="preserve">The Professor has successfully secured several research grants, demonstrating the ability to compete for funding at both national and international levels. This financial support is crucial for advancing scientific capabilities in Almaty and strengthening the institution’s reputation. Furthermore, the Professor actively collaborates with colleagues from other universities in Kazakhstan and abroad, fostering a network of academic exchange that benefits the entire scholarly community.</w:t>
      </w:r>
    </w:p>
    <w:p>
      <w:pPr>
        <w:pStyle w:val="BodyText"/>
      </w:pPr>
      <w:r>
        <w:t xml:space="preserve">One notable achievement is the Professor’s involvement in organizing international conferences in Almaty, which have attracted scholars from across Eurasia. These events have elevated the visibility of the institution and provided valuable platforms for knowledge sharing.</w:t>
      </w:r>
    </w:p>
    <w:bookmarkEnd w:id="23"/>
    <w:bookmarkStart w:id="24" w:name="service-and-professional-engagement"/>
    <w:p>
      <w:pPr>
        <w:pStyle w:val="Heading2"/>
      </w:pPr>
      <w:r>
        <w:t xml:space="preserve">4. Service and Professional Engagement</w:t>
      </w:r>
    </w:p>
    <w:p>
      <w:pPr>
        <w:pStyle w:val="FirstParagraph"/>
      </w:pPr>
      <w:r>
        <w:t xml:space="preserve">Beyond teaching and research, the Professor has shown a strong commitment to service. This includes active participation in departmental committees, curriculum review boards, and student advisory panels. The Professor’s leadership skills are evident in their ability to facilitate constructive discussions and drive consensus among diverse stakeholders.</w:t>
      </w:r>
    </w:p>
    <w:p>
      <w:pPr>
        <w:pStyle w:val="BodyText"/>
      </w:pPr>
      <w:r>
        <w:t xml:space="preserve">Additionally, the Professor engages in outreach activities that connect the university with the broader community in Almaty. This includes participating in public lectures, mentoring young professionals, and collaborating with local industries to bridge the gap between academic theory and practical application. Such engagement is vital for the university’s mission to contribute to the socio-economic development of Kazakhstan.</w:t>
      </w:r>
    </w:p>
    <w:bookmarkEnd w:id="24"/>
    <w:bookmarkStart w:id="25" w:name="Xda79409093af40bd3d15ed7d2a5582dbca223f1"/>
    <w:p>
      <w:pPr>
        <w:pStyle w:val="Heading2"/>
      </w:pPr>
      <w:r>
        <w:t xml:space="preserve">5. Areas for Improvement and Recommendations</w:t>
      </w:r>
    </w:p>
    <w:p>
      <w:pPr>
        <w:pStyle w:val="FirstParagraph"/>
      </w:pPr>
      <w:r>
        <w:t xml:space="preserve">While the Professor’s performance is commendable, this Peer Review Report identifies several areas for potential growth:</w:t>
      </w:r>
    </w:p>
    <w:p>
      <w:pPr>
        <w:numPr>
          <w:ilvl w:val="0"/>
          <w:numId w:val="1002"/>
        </w:numPr>
        <w:pStyle w:val="Compact"/>
      </w:pPr>
      <w:r>
        <w:rPr>
          <w:bCs/>
          <w:b/>
        </w:rPr>
        <w:t xml:space="preserve">Interdisciplinary Collaboration:</w:t>
      </w:r>
      <w:r>
        <w:t xml:space="preserve"> </w:t>
      </w:r>
      <w:r>
        <w:t xml:space="preserve">The Professor is encouraged to seek more interdisciplinary research partnerships, particularly with faculties focusing on social sciences and humanities, to address complex societal issues in a holistic manner.</w:t>
      </w:r>
    </w:p>
    <w:p>
      <w:pPr>
        <w:numPr>
          <w:ilvl w:val="0"/>
          <w:numId w:val="1002"/>
        </w:numPr>
        <w:pStyle w:val="Compact"/>
      </w:pPr>
      <w:r>
        <w:rPr>
          <w:bCs/>
          <w:b/>
        </w:rPr>
        <w:t xml:space="preserve">Digital Pedagogy:</w:t>
      </w:r>
      <w:r>
        <w:t xml:space="preserve"> </w:t>
      </w:r>
      <w:r>
        <w:t xml:space="preserve">As mentioned earlier, enhancing digital teaching skills and incorporating innovative educational technologies will be beneficial in meeting the evolving needs of students in the digital age.</w:t>
      </w:r>
    </w:p>
    <w:p>
      <w:pPr>
        <w:numPr>
          <w:ilvl w:val="0"/>
          <w:numId w:val="1002"/>
        </w:numPr>
        <w:pStyle w:val="Compact"/>
      </w:pPr>
      <w:r>
        <w:rPr>
          <w:bCs/>
          <w:b/>
        </w:rPr>
        <w:t xml:space="preserve">International Visibility:</w:t>
      </w:r>
      <w:r>
        <w:t xml:space="preserve"> </w:t>
      </w:r>
      <w:r>
        <w:t xml:space="preserve">While the Professor has a strong regional presence, increasing publications in top-tier international journals and presenting at global conferences could further elevate their academic profile and the institution’s standing.</w:t>
      </w:r>
    </w:p>
    <w:bookmarkEnd w:id="25"/>
    <w:bookmarkStart w:id="26" w:name="conclusion"/>
    <w:p>
      <w:pPr>
        <w:pStyle w:val="Heading2"/>
      </w:pPr>
      <w:r>
        <w:t xml:space="preserve">6. Conclusion</w:t>
      </w:r>
    </w:p>
    <w:p>
      <w:pPr>
        <w:pStyle w:val="FirstParagraph"/>
      </w:pPr>
      <w:r>
        <w:t xml:space="preserve">In conclusion, this Peer Review Report affirms that the Professor is a valuable asset to the academic community in Almaty, Kazakhstan. Their dedication to teaching, research, and service aligns with the strategic objectives of the institution and the national higher education agenda. The Professor’s contributions have had a positive impact on students, colleagues, and the broader community.</w:t>
      </w:r>
    </w:p>
    <w:p>
      <w:pPr>
        <w:pStyle w:val="BodyText"/>
      </w:pPr>
      <w:r>
        <w:t xml:space="preserve">Based on the evidence reviewed, the committee recommends the continuation of the Professor’s appointment with full support for their ongoing professional development. It is anticipated that by addressing the areas for improvement outlined in this report, the Professor will continue to excel and make even greater contributions to the advancement of knowledge and education in Kazakhstan.</w:t>
      </w:r>
    </w:p>
    <w:p>
      <w:pPr>
        <w:pStyle w:val="BodyText"/>
      </w:pPr>
      <w:r>
        <w:rPr>
          <w:bCs/>
          <w:b/>
        </w:rPr>
        <w:t xml:space="preserve">Prepared by:</w:t>
      </w:r>
    </w:p>
    <w:p>
      <w:pPr>
        <w:pStyle w:val="BodyText"/>
      </w:pPr>
      <w:r>
        <w:t xml:space="preserve">Dr. [Reviewer Name]</w:t>
      </w:r>
      <w:r>
        <w:br/>
      </w:r>
      <w:r>
        <w:t xml:space="preserve">Senior Academic Committee Member</w:t>
      </w:r>
    </w:p>
    <w:p>
      <w:pPr>
        <w:pStyle w:val="BodyText"/>
      </w:pPr>
      <w:r>
        <w:rPr>
          <w:bCs/>
          <w:b/>
        </w:rPr>
        <w:t xml:space="preserve">Approved by:</w:t>
      </w:r>
    </w:p>
    <w:p>
      <w:pPr>
        <w:pStyle w:val="BodyText"/>
      </w:pPr>
      <w:r>
        <w:t xml:space="preserve">Prof. [Dean Name]</w:t>
      </w:r>
      <w:r>
        <w:br/>
      </w:r>
      <w:r>
        <w:t xml:space="preserve">Dean of the Faculty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2026-10-10T09:34:36Z</dcterms:created>
  <dcterms:modified xsi:type="dcterms:W3CDTF">2026-10-10T09:34:36Z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