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Evaluation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Confidential Academic Evaluation Document</w:t>
      </w:r>
    </w:p>
    <w:p>
      <w:pPr>
        <w:pStyle w:val="BodyText"/>
      </w:pPr>
      <w: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Location: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Review ID:</w:t>
      </w:r>
      <w:r>
        <w:t xml:space="preserve"> </w:t>
      </w:r>
      <w:r>
        <w:t xml:space="preserve">KL-PR-2023-089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Finalized</w:t>
      </w:r>
    </w:p>
    <w:bookmarkEnd w:id="20"/>
    <w:bookmarkStart w:id="21" w:name="introduction-and-scope"/>
    <w:p>
      <w:pPr>
        <w:pStyle w:val="Heading2"/>
      </w:pPr>
      <w:r>
        <w:t xml:space="preserve">1. Introduction and Scope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commissioned to evaluate the academic performance, research contributions, and pedagogical effectiveness of the subject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within the context of higher education institutions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review process adheres to the rigorous standards set by the Malaysian Qualifications Agency (MQA) and aligns with the strategic goals of the Ministry of Higher Education (MOHE).</w:t>
      </w:r>
    </w:p>
    <w:p>
      <w:pPr>
        <w:pStyle w:val="BodyText"/>
      </w:pPr>
      <w:r>
        <w:t xml:space="preserve">The objective of this assessment is to provide a comprehensive, objective, and constructive analysis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professional standing. Given the competitive and dynamic academic landscape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this report aims to benchmark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output against international standards while considering local relevance. The evaluation covers the period from January 2020 to December 2023.</w:t>
      </w:r>
    </w:p>
    <w:bookmarkEnd w:id="21"/>
    <w:bookmarkStart w:id="22" w:name="teaching-and-pedagogical-excellence"/>
    <w:p>
      <w:pPr>
        <w:pStyle w:val="Heading2"/>
      </w:pPr>
      <w:r>
        <w:t xml:space="preserve">2. Teaching and Pedagogical Excellence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demonstrated a high level of commitment to teaching excellence. In the context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where student demographics are increasingly diverse,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successfully implemented inclusive teaching strategies. Student feedback indicates that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fosters an engaging learning environment that encourages critical thinking and active participation.</w:t>
      </w:r>
    </w:p>
    <w:p>
      <w:pPr>
        <w:pStyle w:val="BodyText"/>
      </w:pPr>
      <w:r>
        <w:t xml:space="preserve">Key observations regarding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teaching methodology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Innovation: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integrated modern digital tools and case studies relevant to the Malaysian market into the curriculum, ensuring that students are industry-ready.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provides exceptional guidance to undergraduate and postgraduate students, many of whom have gone on to secure leadership roles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corporate and public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Quality:</w:t>
      </w:r>
      <w:r>
        <w:t xml:space="preserve"> </w:t>
      </w:r>
      <w:r>
        <w:t xml:space="preserve">Assessments designed by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are rigorous yet fair, effectively measuring student competency and aligning with the Program Learning Outcomes (PLOs) required by MQA.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ability to balance theoretical depth with practical application is particularly noteworthy. This approach is vital for maintaining the reputation of academic institutions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as centers of excellence.</w:t>
      </w:r>
    </w:p>
    <w:bookmarkEnd w:id="22"/>
    <w:bookmarkStart w:id="23" w:name="research-and-scholarly-contributions"/>
    <w:p>
      <w:pPr>
        <w:pStyle w:val="Heading2"/>
      </w:pPr>
      <w:r>
        <w:t xml:space="preserve">3. Research and Scholarly Contributions</w:t>
      </w:r>
    </w:p>
    <w:p>
      <w:pPr>
        <w:pStyle w:val="FirstParagraph"/>
      </w:pPr>
      <w:r>
        <w:t xml:space="preserve">Research productivity is a critical metric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established a robust research portfolio that significantly contributes to the global academic discourse.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work is frequently published in high-impact, Scopus-indexed journals, reflecting a strong commitment to scholarly rigor.</w:t>
      </w:r>
    </w:p>
    <w:p>
      <w:pPr>
        <w:pStyle w:val="BodyText"/>
      </w:pPr>
      <w:r>
        <w:t xml:space="preserve">The research themes pursued by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are highly relevant to the socio-economic development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By focusing on areas such as sustainable urban development, digital transformation, and regional economic policy,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ensures that their research has tangible implications for local stakeholders.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successfully secured competitive research grants from both national bodies, such as the Malaysian Ministry of Higher Education, and international funding agencies. This ability to attract funding demonstrates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credibility and the strategic importance of their research agenda.</w:t>
      </w:r>
    </w:p>
    <w:bookmarkEnd w:id="23"/>
    <w:bookmarkStart w:id="24" w:name="Xf980a1d44ff1c8d84b613dfae04698363b69713"/>
    <w:p>
      <w:pPr>
        <w:pStyle w:val="Heading2"/>
      </w:pPr>
      <w:r>
        <w:t xml:space="preserve">4. Professional Service and Community Engagement</w:t>
      </w:r>
    </w:p>
    <w:p>
      <w:pPr>
        <w:pStyle w:val="FirstParagraph"/>
      </w:pPr>
      <w:r>
        <w:t xml:space="preserve">Beyond teaching and research,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plays an active role in the academic community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serves on various editorial boards, review panels, and academic committees, contributing to the governance and quality assurance of higher education.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also deeply engaged in community outreach. Through public lectures, workshops, and consultancy projects,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bridges the gap between academia and industry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This engagement enhances the university's visibility and strengthens partnerships with local businesses and government agencies.</w:t>
      </w:r>
    </w:p>
    <w:bookmarkEnd w:id="24"/>
    <w:bookmarkStart w:id="25" w:name="areas-for-improvement"/>
    <w:p>
      <w:pPr>
        <w:pStyle w:val="Heading2"/>
      </w:pPr>
      <w:r>
        <w:t xml:space="preserve">5. Areas for Improvement</w:t>
      </w:r>
    </w:p>
    <w:p>
      <w:pPr>
        <w:pStyle w:val="FirstParagraph"/>
      </w:pPr>
      <w:r>
        <w:t xml:space="preserve">While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performance is exemplary,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identifies a few areas for potential growth: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 </w:t>
      </w:r>
      <w:r>
        <w:t xml:space="preserve">While strong locally,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could further expand international research collaborations to enhance the global reach of their 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Open Access Publishing:</w:t>
      </w:r>
      <w:r>
        <w:t xml:space="preserve"> </w:t>
      </w:r>
      <w:r>
        <w:t xml:space="preserve">Increasing the volume of open-access publications would make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research more accessible to the broader public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and beyond.</w:t>
      </w:r>
    </w:p>
    <w:bookmarkEnd w:id="25"/>
    <w:bookmarkStart w:id="26" w:name="conclusion-and-recommendation"/>
    <w:p>
      <w:pPr>
        <w:pStyle w:val="Heading2"/>
      </w:pPr>
      <w:r>
        <w:t xml:space="preserve">6. Conclusion and Recommendation</w:t>
      </w:r>
    </w:p>
    <w:p>
      <w:pPr>
        <w:pStyle w:val="FirstParagraph"/>
      </w:pPr>
      <w:r>
        <w:rPr>
          <w:bCs/>
          <w:b/>
        </w:rPr>
        <w:t xml:space="preserve">Overall Rating:</w:t>
      </w:r>
      <w:r>
        <w:t xml:space="preserve"> </w:t>
      </w:r>
      <w:r>
        <w:t xml:space="preserve">Outstanding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a distinguished academic leader who significantly contributes to the intellectual and professional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combines pedagogical excellence with impactful research and dedicated service.</w:t>
      </w:r>
    </w:p>
    <w:p>
      <w:pPr>
        <w:pStyle w:val="BodyText"/>
      </w:pPr>
      <w:r>
        <w:t xml:space="preserve">It is the unanimous recommendation of the review panel that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be recognized for their outstanding contributions.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encouraged to continue their current trajectory while exploring the suggested areas for improvement. Their continued presence is an asset to the institution and to the academic community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bookmarkEnd w:id="26"/>
    <w:p>
      <w:pPr>
        <w:pStyle w:val="BodyText"/>
      </w:pPr>
      <w:r>
        <w:rPr>
          <w:bCs/>
          <w:b/>
        </w:rPr>
        <w:t xml:space="preserve">Lead Reviewer:</w:t>
      </w:r>
    </w:p>
    <w:p>
      <w:pPr>
        <w:pStyle w:val="BodyText"/>
      </w:pPr>
      <w:r>
        <w:t xml:space="preserve">Dr. A. Rahman</w:t>
      </w:r>
    </w:p>
    <w:p>
      <w:pPr>
        <w:pStyle w:val="BodyText"/>
      </w:pPr>
      <w:r>
        <w:t xml:space="preserve">Senior Academic Fellow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rPr>
          <w:bCs/>
          <w:b/>
        </w:rPr>
        <w:t xml:space="preserve">Review Panel Chair:</w:t>
      </w:r>
    </w:p>
    <w:p>
      <w:pPr>
        <w:pStyle w:val="BodyText"/>
      </w:pPr>
      <w:r>
        <w:t xml:space="preserve">Prof. S. Tan</w:t>
      </w:r>
    </w:p>
    <w:p>
      <w:pPr>
        <w:pStyle w:val="BodyText"/>
      </w:pPr>
      <w:r>
        <w:t xml:space="preserve">Dean of Faculty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This document is confidential and intended solely for the use of the addressee. Unauthorized distribution is prohibited.</w:t>
      </w:r>
    </w:p>
    <w:p>
      <w:pPr>
        <w:pStyle w:val="BodyText"/>
      </w:pPr>
      <w:r>
        <w:t xml:space="preserve">Generated for Academic Evaluation Purposes in Malaysia Kuala Lumpur.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 - Academic Evaluation</dc:title>
  <dc:creator/>
  <dc:language>en</dc:language>
  <cp:keywords/>
  <dcterms:created xsi:type="dcterms:W3CDTF">2026-10-10T08:09:53Z</dcterms:created>
  <dcterms:modified xsi:type="dcterms:W3CDTF">2026-10-10T08:09:53Z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