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Faculty</w:t>
      </w:r>
      <w:r>
        <w:t xml:space="preserve"> </w:t>
      </w:r>
      <w:r>
        <w:t xml:space="preserve">Assessment</w:t>
      </w:r>
    </w:p>
    <w:bookmarkStart w:id="32"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Yangon, Myanmar</w:t>
      </w:r>
      <w:r>
        <w:br/>
      </w:r>
      <w:r>
        <w:rPr>
          <w:bCs/>
          <w:b/>
        </w:rPr>
        <w:t xml:space="preserve">Review Type:</w:t>
      </w:r>
      <w:r>
        <w:t xml:space="preserve"> </w:t>
      </w:r>
      <w:r>
        <w:t xml:space="preserve">Annual Faculty Evaluation</w:t>
      </w:r>
    </w:p>
    <w:p>
      <w:pPr>
        <w:pStyle w:val="BodyText"/>
      </w:pPr>
      <w:r>
        <w:rPr>
          <w:bCs/>
          <w:b/>
        </w:rPr>
        <w:t xml:space="preserve">Department:</w:t>
      </w:r>
      <w:r>
        <w:t xml:space="preserve"> </w:t>
      </w:r>
      <w:r>
        <w:t xml:space="preserve">Faculty of Arts and Sciences</w:t>
      </w:r>
      <w:r>
        <w:br/>
      </w:r>
      <w:r>
        <w:rPr>
          <w:bCs/>
          <w:b/>
        </w:rPr>
        <w:t xml:space="preserve">Reviewer ID:</w:t>
      </w:r>
      <w:r>
        <w:t xml:space="preserve"> </w:t>
      </w:r>
      <w:r>
        <w:t xml:space="preserve">PR-2023-YGN-042</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academic performance, pedagogical effectiveness, and research contributions of the subject</w:t>
      </w:r>
      <w:r>
        <w:t xml:space="preserve"> </w:t>
      </w:r>
      <w:r>
        <w:rPr>
          <w:bCs/>
          <w:b/>
        </w:rPr>
        <w:t xml:space="preserve">Professor</w:t>
      </w:r>
      <w:r>
        <w:t xml:space="preserve">. This assessment is conducted within the specific academic and cultural context of</w:t>
      </w:r>
      <w:r>
        <w:t xml:space="preserve"> </w:t>
      </w:r>
      <w:r>
        <w:rPr>
          <w:bCs/>
          <w:b/>
        </w:rPr>
        <w:t xml:space="preserve">Myanmar Yangon</w:t>
      </w:r>
      <w:r>
        <w:t xml:space="preserve">, adhering to the standards set forth by the University Grants Commission of Myanmar and the internal quality assurance protocols of the institution. The purpose of this review is to provide constructive feedback, recognize excellence, and identify areas for professional development to enhance the overall educational landscape in Yangon.</w:t>
      </w:r>
    </w:p>
    <w:p>
      <w:pPr>
        <w:pStyle w:val="BodyText"/>
      </w:pPr>
      <w:r>
        <w:t xml:space="preserve">The review process involved classroom observations, analysis of course materials, examination of student feedback, and a comprehensive review of the</w:t>
      </w:r>
      <w:r>
        <w:t xml:space="preserve"> </w:t>
      </w:r>
      <w:r>
        <w:rPr>
          <w:bCs/>
          <w:b/>
        </w:rPr>
        <w:t xml:space="preserve">Professor</w:t>
      </w:r>
      <w:r>
        <w:t xml:space="preserve">'s recent publications and community engagement activities. The evaluation period covers the academic year from January 2023 to July 2023.</w:t>
      </w:r>
    </w:p>
    <w:bookmarkEnd w:id="20"/>
    <w:bookmarkStart w:id="23" w:name="teaching-effectiveness-and-pedagogy"/>
    <w:p>
      <w:pPr>
        <w:pStyle w:val="Heading2"/>
      </w:pPr>
      <w:r>
        <w:t xml:space="preserve">2. Teaching Effectiveness and Pedagogy</w:t>
      </w:r>
    </w:p>
    <w:bookmarkStart w:id="21" w:name="classroom-instruction"/>
    <w:p>
      <w:pPr>
        <w:pStyle w:val="Heading3"/>
      </w:pPr>
      <w:r>
        <w:t xml:space="preserve">2.1 Classroom Instruction</w:t>
      </w:r>
    </w:p>
    <w:p>
      <w:pPr>
        <w:pStyle w:val="FirstParagraph"/>
      </w:pPr>
      <w:r>
        <w:t xml:space="preserve">The</w:t>
      </w:r>
      <w:r>
        <w:t xml:space="preserve"> </w:t>
      </w:r>
      <w:r>
        <w:rPr>
          <w:bCs/>
          <w:b/>
        </w:rPr>
        <w:t xml:space="preserve">Professor</w:t>
      </w:r>
      <w:r>
        <w:t xml:space="preserve"> </w:t>
      </w:r>
      <w:r>
        <w:t xml:space="preserve">demonstrates a high level of mastery over the subject matter. During the observed lectures in Yangon, the instructor exhibited a clear and structured approach to delivering complex theoretical concepts. The ability to contextualize global academic theories within the local reality of Myanmar is particularly commendable. For instance, when discussing economic development models, the</w:t>
      </w:r>
      <w:r>
        <w:t xml:space="preserve"> </w:t>
      </w:r>
      <w:r>
        <w:rPr>
          <w:bCs/>
          <w:b/>
        </w:rPr>
        <w:t xml:space="preserve">Professor</w:t>
      </w:r>
      <w:r>
        <w:t xml:space="preserve"> </w:t>
      </w:r>
      <w:r>
        <w:t xml:space="preserve">effectively utilized case studies relevant to Yangon's urban development, making the content highly relatable for the student body.</w:t>
      </w:r>
    </w:p>
    <w:p>
      <w:pPr>
        <w:pStyle w:val="BodyText"/>
      </w:pPr>
      <w:r>
        <w:t xml:space="preserve">The pedagogical style is interactive and encourages critical thinking. The</w:t>
      </w:r>
      <w:r>
        <w:t xml:space="preserve"> </w:t>
      </w:r>
      <w:r>
        <w:rPr>
          <w:bCs/>
          <w:b/>
        </w:rPr>
        <w:t xml:space="preserve">Professor</w:t>
      </w:r>
      <w:r>
        <w:t xml:space="preserve"> </w:t>
      </w:r>
      <w:r>
        <w:t xml:space="preserve">moves beyond rote memorization, which is a traditional challenge in some educational settings, and instead fosters an environment where students feel comfortable questioning and debating. This is evident in the seminar sessions where students actively participated in group discussions.</w:t>
      </w:r>
    </w:p>
    <w:bookmarkEnd w:id="21"/>
    <w:bookmarkStart w:id="22" w:name="course-materials-and-assessment"/>
    <w:p>
      <w:pPr>
        <w:pStyle w:val="Heading3"/>
      </w:pPr>
      <w:r>
        <w:t xml:space="preserve">2.2 Course Materials and Assessment</w:t>
      </w:r>
    </w:p>
    <w:p>
      <w:pPr>
        <w:pStyle w:val="FirstParagraph"/>
      </w:pPr>
      <w:r>
        <w:t xml:space="preserve">The syllabus and reading lists provided are up-to-date and reflect current academic trends. The</w:t>
      </w:r>
      <w:r>
        <w:t xml:space="preserve"> </w:t>
      </w:r>
      <w:r>
        <w:rPr>
          <w:bCs/>
          <w:b/>
        </w:rPr>
        <w:t xml:space="preserve">Professor</w:t>
      </w:r>
      <w:r>
        <w:t xml:space="preserve"> </w:t>
      </w:r>
      <w:r>
        <w:t xml:space="preserve">has made significant efforts to incorporate digital resources, acknowledging the growing importance of technology in education within Yangon. Assessment methods are varied, including written examinations, oral presentations, and research projects. This holistic approach ensures that students are evaluated on multiple dimensions of their learning. Feedback provided on student assignments is timely, detailed, and constructive, aiding in their academic growth.</w:t>
      </w:r>
    </w:p>
    <w:bookmarkEnd w:id="22"/>
    <w:bookmarkEnd w:id="23"/>
    <w:bookmarkStart w:id="26" w:name="research-and-scholarly-activity"/>
    <w:p>
      <w:pPr>
        <w:pStyle w:val="Heading2"/>
      </w:pPr>
      <w:r>
        <w:t xml:space="preserve">3. Research and Scholarly Activity</w:t>
      </w:r>
    </w:p>
    <w:bookmarkStart w:id="24" w:name="publications-and-impact"/>
    <w:p>
      <w:pPr>
        <w:pStyle w:val="Heading3"/>
      </w:pPr>
      <w:r>
        <w:t xml:space="preserve">3.1 Publications and Impact</w:t>
      </w:r>
    </w:p>
    <w:p>
      <w:pPr>
        <w:pStyle w:val="FirstParagraph"/>
      </w:pPr>
      <w:r>
        <w:t xml:space="preserve">A core component of this</w:t>
      </w:r>
      <w:r>
        <w:t xml:space="preserve"> </w:t>
      </w:r>
      <w:r>
        <w:rPr>
          <w:bCs/>
          <w:b/>
        </w:rPr>
        <w:t xml:space="preserve">Peer Review Report</w:t>
      </w:r>
      <w:r>
        <w:t xml:space="preserve"> </w:t>
      </w:r>
      <w:r>
        <w:t xml:space="preserve">is the evaluation of the</w:t>
      </w:r>
      <w:r>
        <w:t xml:space="preserve"> </w:t>
      </w:r>
      <w:r>
        <w:rPr>
          <w:bCs/>
          <w:b/>
        </w:rPr>
        <w:t xml:space="preserve">Professor</w:t>
      </w:r>
      <w:r>
        <w:t xml:space="preserve">'s research output. The faculty member has maintained a consistent record of publication in reputable regional and international journals. Notably, the recent paper on "Socio-Economic Dynamics in Post-Conflict Myanmar" has received significant attention within the academic community in Yangon and beyond. This work demonstrates the</w:t>
      </w:r>
      <w:r>
        <w:t xml:space="preserve"> </w:t>
      </w:r>
      <w:r>
        <w:rPr>
          <w:bCs/>
          <w:b/>
        </w:rPr>
        <w:t xml:space="preserve">Professor</w:t>
      </w:r>
      <w:r>
        <w:t xml:space="preserve">'s commitment to addressing pressing local issues through rigorous academic inquiry.</w:t>
      </w:r>
    </w:p>
    <w:p>
      <w:pPr>
        <w:pStyle w:val="BodyText"/>
      </w:pPr>
      <w:r>
        <w:t xml:space="preserve">The research methodology employed is robust, combining qualitative fieldwork with quantitative analysis. The</w:t>
      </w:r>
      <w:r>
        <w:t xml:space="preserve"> </w:t>
      </w:r>
      <w:r>
        <w:rPr>
          <w:bCs/>
          <w:b/>
        </w:rPr>
        <w:t xml:space="preserve">Professor</w:t>
      </w:r>
      <w:r>
        <w:t xml:space="preserve"> </w:t>
      </w:r>
      <w:r>
        <w:t xml:space="preserve">has successfully secured funding for research projects that contribute to the intellectual capital of the university. Furthermore, the integration of research findings into the undergraduate curriculum ensures that students are exposed to cutting-edge knowledge.</w:t>
      </w:r>
    </w:p>
    <w:bookmarkEnd w:id="24"/>
    <w:bookmarkStart w:id="25" w:name="academic-collaboration"/>
    <w:p>
      <w:pPr>
        <w:pStyle w:val="Heading3"/>
      </w:pPr>
      <w:r>
        <w:t xml:space="preserve">3.2 Academic Collaboration</w:t>
      </w:r>
    </w:p>
    <w:p>
      <w:pPr>
        <w:pStyle w:val="FirstParagraph"/>
      </w:pPr>
      <w:r>
        <w:t xml:space="preserve">The</w:t>
      </w:r>
      <w:r>
        <w:t xml:space="preserve"> </w:t>
      </w:r>
      <w:r>
        <w:rPr>
          <w:bCs/>
          <w:b/>
        </w:rPr>
        <w:t xml:space="preserve">Professor</w:t>
      </w:r>
      <w:r>
        <w:t xml:space="preserve"> </w:t>
      </w:r>
      <w:r>
        <w:t xml:space="preserve">actively collaborates with colleagues both within the department and with external institutions. These collaborations have led to joint publications and conference presentations, enhancing the visibility of the university in the broader academic network of Southeast Asia. The willingness to mentor junior faculty members in their research endeavors is also a positive attribute noted during this review.</w:t>
      </w:r>
    </w:p>
    <w:bookmarkEnd w:id="25"/>
    <w:bookmarkEnd w:id="26"/>
    <w:bookmarkStart w:id="29" w:name="service-and-community-engagement"/>
    <w:p>
      <w:pPr>
        <w:pStyle w:val="Heading2"/>
      </w:pPr>
      <w:r>
        <w:t xml:space="preserve">4. Service and Community Engagement</w:t>
      </w:r>
    </w:p>
    <w:bookmarkStart w:id="27" w:name="institutional-service"/>
    <w:p>
      <w:pPr>
        <w:pStyle w:val="Heading3"/>
      </w:pPr>
      <w:r>
        <w:t xml:space="preserve">4.1 Institutional Service</w:t>
      </w:r>
    </w:p>
    <w:p>
      <w:pPr>
        <w:pStyle w:val="FirstParagraph"/>
      </w:pPr>
      <w:r>
        <w:t xml:space="preserve">Beyond teaching and research, the</w:t>
      </w:r>
      <w:r>
        <w:t xml:space="preserve"> </w:t>
      </w:r>
      <w:r>
        <w:rPr>
          <w:bCs/>
          <w:b/>
        </w:rPr>
        <w:t xml:space="preserve">Professor</w:t>
      </w:r>
      <w:r>
        <w:t xml:space="preserve"> </w:t>
      </w:r>
      <w:r>
        <w:t xml:space="preserve">has been an active participant in the governance of the institution. Service on various committees, including the Curriculum Development Committee and the Student Welfare Board, demonstrates a strong commitment to the improvement of the university's operations. The</w:t>
      </w:r>
      <w:r>
        <w:t xml:space="preserve"> </w:t>
      </w:r>
      <w:r>
        <w:rPr>
          <w:bCs/>
          <w:b/>
        </w:rPr>
        <w:t xml:space="preserve">Professor</w:t>
      </w:r>
      <w:r>
        <w:t xml:space="preserve">'s contributions to these bodies are characterized by thoughtful analysis and a collaborative spirit.</w:t>
      </w:r>
    </w:p>
    <w:bookmarkEnd w:id="27"/>
    <w:bookmarkStart w:id="28" w:name="community-outreach-in-yangon"/>
    <w:p>
      <w:pPr>
        <w:pStyle w:val="Heading3"/>
      </w:pPr>
      <w:r>
        <w:t xml:space="preserve">4.2 Community Outreach in Yangon</w:t>
      </w:r>
    </w:p>
    <w:p>
      <w:pPr>
        <w:pStyle w:val="FirstParagraph"/>
      </w:pPr>
      <w:r>
        <w:t xml:space="preserve">In the context of</w:t>
      </w:r>
      <w:r>
        <w:t xml:space="preserve"> </w:t>
      </w:r>
      <w:r>
        <w:rPr>
          <w:bCs/>
          <w:b/>
        </w:rPr>
        <w:t xml:space="preserve">Myanmar Yangon</w:t>
      </w:r>
      <w:r>
        <w:t xml:space="preserve">, the role of the university extends into the community. The</w:t>
      </w:r>
      <w:r>
        <w:t xml:space="preserve"> </w:t>
      </w:r>
      <w:r>
        <w:rPr>
          <w:bCs/>
          <w:b/>
        </w:rPr>
        <w:t xml:space="preserve">Professor</w:t>
      </w:r>
      <w:r>
        <w:t xml:space="preserve"> </w:t>
      </w:r>
      <w:r>
        <w:t xml:space="preserve">has been instrumental in organizing public lectures and workshops aimed at disseminating knowledge to the general public. These initiatives bridge the gap between academia and society, fostering a culture of lifelong learning. The engagement with local NGOs and community organizations further underscores the</w:t>
      </w:r>
      <w:r>
        <w:t xml:space="preserve"> </w:t>
      </w:r>
      <w:r>
        <w:rPr>
          <w:bCs/>
          <w:b/>
        </w:rPr>
        <w:t xml:space="preserve">Professor</w:t>
      </w:r>
      <w:r>
        <w:t xml:space="preserve">'s dedication to social responsibility.</w:t>
      </w:r>
    </w:p>
    <w:bookmarkEnd w:id="28"/>
    <w:bookmarkEnd w:id="29"/>
    <w:bookmarkStart w:id="30" w:name="Xda79409093af40bd3d15ed7d2a5582dbca223f1"/>
    <w:p>
      <w:pPr>
        <w:pStyle w:val="Heading2"/>
      </w:pPr>
      <w:r>
        <w:t xml:space="preserve">5. Areas for Improvement and Recommendations</w:t>
      </w:r>
    </w:p>
    <w:p>
      <w:pPr>
        <w:pStyle w:val="FirstParagraph"/>
      </w:pPr>
      <w:r>
        <w:t xml:space="preserve">While the overall performance of the</w:t>
      </w:r>
      <w:r>
        <w:t xml:space="preserve"> </w:t>
      </w:r>
      <w:r>
        <w:rPr>
          <w:bCs/>
          <w:b/>
        </w:rPr>
        <w:t xml:space="preserve">Professor</w:t>
      </w:r>
      <w:r>
        <w:t xml:space="preserve"> </w:t>
      </w:r>
      <w:r>
        <w:t xml:space="preserve">is exemplary, this</w:t>
      </w:r>
      <w:r>
        <w:t xml:space="preserve"> </w:t>
      </w:r>
      <w:r>
        <w:rPr>
          <w:bCs/>
          <w:b/>
        </w:rPr>
        <w:t xml:space="preserve">Peer Review Report</w:t>
      </w:r>
      <w:r>
        <w:t xml:space="preserve"> </w:t>
      </w:r>
      <w:r>
        <w:t xml:space="preserve">identifies a few areas for potential enhancement. First, there is an opportunity to further integrate digital learning tools into the classroom. Given the rapid technological advancements in Yangon, adopting more sophisticated Learning Management Systems (LMS) could enhance student engagement and accessibility.</w:t>
      </w:r>
    </w:p>
    <w:p>
      <w:pPr>
        <w:pStyle w:val="BodyText"/>
      </w:pPr>
      <w:r>
        <w:t xml:space="preserve">Second, while the research output is strong, there is room to increase the number of interdisciplinary projects. Collaborating with departments such as Computer Science or Public Health could yield innovative research outcomes that address complex societal challenges in Myanmar. Finally, the</w:t>
      </w:r>
      <w:r>
        <w:t xml:space="preserve"> </w:t>
      </w:r>
      <w:r>
        <w:rPr>
          <w:bCs/>
          <w:b/>
        </w:rPr>
        <w:t xml:space="preserve">Professor</w:t>
      </w:r>
      <w:r>
        <w:t xml:space="preserve"> </w:t>
      </w:r>
      <w:r>
        <w:t xml:space="preserve">is encouraged to continue mentoring graduate students, ensuring the next generation of scholars in Yangon is well-prepared for academic careers.</w:t>
      </w:r>
    </w:p>
    <w:bookmarkEnd w:id="30"/>
    <w:bookmarkStart w:id="31"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 distinguished academic who makes significant contributions to teaching, research, and service. Their work aligns perfectly with the mission of the university and serves as a model for academic excellence in</w:t>
      </w:r>
      <w:r>
        <w:t xml:space="preserve"> </w:t>
      </w:r>
      <w:r>
        <w:rPr>
          <w:bCs/>
          <w:b/>
        </w:rPr>
        <w:t xml:space="preserve">Myanmar Yangon</w:t>
      </w:r>
      <w:r>
        <w:t xml:space="preserve">. The</w:t>
      </w:r>
      <w:r>
        <w:t xml:space="preserve"> </w:t>
      </w:r>
      <w:r>
        <w:rPr>
          <w:bCs/>
          <w:b/>
        </w:rPr>
        <w:t xml:space="preserve">Professor</w:t>
      </w:r>
      <w:r>
        <w:t xml:space="preserve">'s dedication to nurturing students, advancing knowledge, and engaging with the community is highly valued. Based on the evidence gathered, the</w:t>
      </w:r>
      <w:r>
        <w:t xml:space="preserve"> </w:t>
      </w:r>
      <w:r>
        <w:rPr>
          <w:bCs/>
          <w:b/>
        </w:rPr>
        <w:t xml:space="preserve">Professor</w:t>
      </w:r>
      <w:r>
        <w:t xml:space="preserve"> </w:t>
      </w:r>
      <w:r>
        <w:t xml:space="preserve">is recommended for continued appointment and is eligible for consideration for promotion, subject to the final decision of the Academic Council.</w:t>
      </w:r>
    </w:p>
    <w:bookmarkEnd w:id="31"/>
    <w:p>
      <w:pPr>
        <w:pStyle w:val="BodyText"/>
      </w:pPr>
      <w:r>
        <w:rPr>
          <w:bCs/>
          <w:b/>
        </w:rPr>
        <w:t xml:space="preserve">Reviewer Name:</w:t>
      </w:r>
      <w:r>
        <w:t xml:space="preserve"> </w:t>
      </w:r>
      <w:r>
        <w:t xml:space="preserve">Dr. Aung Kyaw</w:t>
      </w:r>
      <w:r>
        <w:br/>
      </w:r>
      <w:r>
        <w:t xml:space="preserve">Senior Lecturer, Department of Social Sciences</w:t>
      </w:r>
    </w:p>
    <w:p>
      <w:pPr>
        <w:pStyle w:val="BodyText"/>
      </w:pPr>
      <w:r>
        <w:rPr>
          <w:bCs/>
          <w:b/>
        </w:rPr>
        <w:t xml:space="preserve">Date of Submission:</w:t>
      </w:r>
      <w:r>
        <w:t xml:space="preserve"> </w:t>
      </w:r>
      <w:r>
        <w:t xml:space="preserve">October 24, 2023</w:t>
      </w:r>
      <w:r>
        <w:br/>
      </w:r>
      <w:r>
        <w:t xml:space="preserve">Yangon, Myanmar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Faculty Assessment</dc:title>
  <dc:creator/>
  <dc:language>en</dc:language>
  <cp:keywords/>
  <dcterms:created xsi:type="dcterms:W3CDTF">2026-10-10T06:52:22Z</dcterms:created>
  <dcterms:modified xsi:type="dcterms:W3CDTF">2026-10-10T06:52:22Z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